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png" ContentType="image/png"/>
  <Override PartName="/word/media/image7.jpeg" ContentType="image/jpeg"/>
  <Override PartName="/word/media/image2.png" ContentType="image/png"/>
  <Override PartName="/word/media/image4.jpeg" ContentType="image/jpeg"/>
  <Override PartName="/word/media/image3.jpeg" ContentType="image/jpeg"/>
  <Override PartName="/word/media/image5.png" ContentType="image/png"/>
  <Override PartName="/word/media/image6.wmf" ContentType="image/x-wmf"/>
  <Override PartName="/word/footnotes.xml" ContentType="application/vnd.openxmlformats-officedocument.wordprocessingml.footnot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both"/>
        <w:rPr>
          <w:b/>
          <w:b/>
        </w:rPr>
      </w:pPr>
      <w:r>
        <w:rPr>
          <w:b/>
        </w:rPr>
        <w:t>Zanieczyszczenia powietrza</w:t>
      </w:r>
    </w:p>
    <w:p>
      <w:pPr>
        <w:pStyle w:val="Normal"/>
        <w:jc w:val="both"/>
        <w:rPr/>
      </w:pPr>
      <w:r>
        <w:rPr/>
        <w:t xml:space="preserve">Każdy rodzaj działalności ludzkiej, powoduje produkcję zanieczyszczeń. </w:t>
      </w:r>
    </w:p>
    <w:p>
      <w:pPr>
        <w:pStyle w:val="Normal"/>
        <w:jc w:val="both"/>
        <w:rPr/>
      </w:pPr>
      <w:r>
        <w:rPr/>
        <w:t>Zanieczyszczenia powietrza to wszystkie substancje w postaci gazów, cieczy lub ciał stałych (pyły), które nie są jego naturalnymi składnikami lub występują w stężeniu wyższym niż naturalne. Nieodpowiedni stan jakości powietrza ma negatywny wpływ nie tylko na ludzkie zdrowie, ekosystemy, lecz także na procesy gospodarcze (np. turystyka, rolnictwo).</w:t>
      </w:r>
    </w:p>
    <w:p>
      <w:pPr>
        <w:pStyle w:val="Normal"/>
        <w:jc w:val="both"/>
        <w:rPr/>
      </w:pPr>
      <w:r>
        <w:rPr/>
        <w:t>Na terenie Polski najwięcej energii pozyskuje się w wyniku spalania węgla kamiennego, węgla brunatnego oraz towarzyszącego im współspalania biomasy i to właśnie te procesy odpowiedzialne są za większość zanieczyszczeń powietrza.</w:t>
      </w:r>
      <w:r>
        <w:rPr>
          <w:rStyle w:val="Zakotwiczenieprzypisudolnego"/>
        </w:rPr>
        <w:footnoteReference w:id="2"/>
      </w:r>
      <w:r>
        <w:rPr/>
        <w:t>.</w:t>
      </w:r>
    </w:p>
    <w:p>
      <w:pPr>
        <w:pStyle w:val="NormalWeb"/>
        <w:spacing w:before="280" w:after="280"/>
        <w:jc w:val="both"/>
        <w:rPr/>
      </w:pPr>
      <w:r>
        <w:rPr>
          <w:rFonts w:eastAsia="Calibri" w:cs="" w:ascii="Calibri" w:hAnsi="Calibri" w:asciiTheme="minorHAnsi" w:cstheme="minorBidi" w:eastAsiaTheme="minorHAnsi" w:hAnsiTheme="minorHAnsi"/>
          <w:sz w:val="22"/>
          <w:szCs w:val="22"/>
          <w:lang w:eastAsia="en-US"/>
        </w:rPr>
        <w:t>Do najbardziej szkodliwych dla zdrowia substancji powstałych w wyniku spalania paliw kopalnych należą</w:t>
      </w:r>
      <w:r>
        <w:rPr>
          <w:rStyle w:val="Zakotwiczenieprzypisudolnego"/>
        </w:rPr>
        <w:footnoteReference w:id="3"/>
      </w:r>
      <w:r>
        <w:rPr/>
        <w:t>:</w:t>
      </w:r>
    </w:p>
    <w:p>
      <w:pPr>
        <w:pStyle w:val="Normal"/>
        <w:numPr>
          <w:ilvl w:val="0"/>
          <w:numId w:val="2"/>
        </w:numPr>
        <w:spacing w:lineRule="auto" w:line="240" w:beforeAutospacing="1" w:after="0"/>
        <w:jc w:val="both"/>
        <w:rPr/>
      </w:pPr>
      <w:r>
        <w:rPr>
          <w:rStyle w:val="Strong"/>
        </w:rPr>
        <w:t>Tlenek węgla (czad)</w:t>
      </w:r>
      <w:r>
        <w:rPr/>
        <w:t>: krótkotrwałe wdychanie powoduje silne zatrucie organizmu, może powodować nieodwracalne uszkodzenia układu ośrodkowego nerwowego, niewydolność wieńcową, zawał a nawet śmierć;</w:t>
      </w:r>
    </w:p>
    <w:p>
      <w:pPr>
        <w:pStyle w:val="Normal"/>
        <w:numPr>
          <w:ilvl w:val="0"/>
          <w:numId w:val="2"/>
        </w:numPr>
        <w:spacing w:lineRule="auto" w:line="240" w:before="0" w:after="0"/>
        <w:jc w:val="both"/>
        <w:rPr/>
      </w:pPr>
      <w:r>
        <w:rPr>
          <w:rStyle w:val="Strong"/>
        </w:rPr>
        <w:t>Tlenek azotu (NOx):</w:t>
      </w:r>
      <w:r>
        <w:rPr/>
        <w:t xml:space="preserve"> działa drażniąco dla dróg oddechowych, gardła, oczu, obniża odporność organizmu oraz może powodować choroby alergiczne;</w:t>
      </w:r>
    </w:p>
    <w:p>
      <w:pPr>
        <w:pStyle w:val="Normal"/>
        <w:numPr>
          <w:ilvl w:val="0"/>
          <w:numId w:val="2"/>
        </w:numPr>
        <w:spacing w:lineRule="auto" w:line="240" w:before="0" w:after="0"/>
        <w:jc w:val="both"/>
        <w:rPr/>
      </w:pPr>
      <w:r>
        <w:rPr>
          <w:rStyle w:val="Strong"/>
        </w:rPr>
        <w:t>Ozon:</w:t>
      </w:r>
      <w:r>
        <w:rPr/>
        <w:t xml:space="preserve"> powoduje choroby płuc i oskrzeli, choroby układu krążenia, problemy z oddychaniem, podrażnia gardło, oczy i nos;</w:t>
      </w:r>
    </w:p>
    <w:p>
      <w:pPr>
        <w:pStyle w:val="Normal"/>
        <w:numPr>
          <w:ilvl w:val="0"/>
          <w:numId w:val="2"/>
        </w:numPr>
        <w:spacing w:lineRule="auto" w:line="240" w:before="0" w:after="0"/>
        <w:jc w:val="both"/>
        <w:rPr/>
      </w:pPr>
      <w:r>
        <w:rPr>
          <w:rStyle w:val="Strong"/>
        </w:rPr>
        <w:t>Pyły zawieszone</w:t>
      </w:r>
      <w:r>
        <w:rPr/>
        <w:t xml:space="preserve"> </w:t>
      </w:r>
      <w:r>
        <w:rPr>
          <w:rStyle w:val="Strong"/>
        </w:rPr>
        <w:t>(PM10, PM2,5):</w:t>
      </w:r>
      <w:r>
        <w:rPr/>
        <w:t xml:space="preserve"> pyły o średnicy nie przekraczającej odpowiednio 10 i 2,5 mikrometrów; mają silne właściwości sorpcyjne przez co mogą przenosić w swoich strukturach inne zanieczyszczenia np. metale ciężkie. Mogą przyczynić się do chorób układu oddechowego, nowotworów (płuc, gardła, krtani) a także chorób serca i naczyń krwionośnych. Powodują problemy z oddychaniem i krążeniem, mogą zaburzać funkcjonowanie środkowego układu nerwowego;</w:t>
      </w:r>
    </w:p>
    <w:p>
      <w:pPr>
        <w:pStyle w:val="Normal"/>
        <w:numPr>
          <w:ilvl w:val="0"/>
          <w:numId w:val="2"/>
        </w:numPr>
        <w:spacing w:lineRule="auto" w:line="240" w:before="0" w:after="0"/>
        <w:jc w:val="both"/>
        <w:rPr/>
      </w:pPr>
      <w:r>
        <w:rPr>
          <w:rStyle w:val="Strong"/>
        </w:rPr>
        <w:t>Metale ciężkie:</w:t>
      </w:r>
      <w:r>
        <w:rPr/>
        <w:t xml:space="preserve"> najbardziej szkodliwe to: kadm, ołów, rtęć, które mogą odkładać się w wątrobie, nerkach, szpiku kostnym. Uszkadzają układ nerwowy, powodują anemię oraz bezpłodność;</w:t>
      </w:r>
    </w:p>
    <w:p>
      <w:pPr>
        <w:pStyle w:val="Normal"/>
        <w:numPr>
          <w:ilvl w:val="0"/>
          <w:numId w:val="2"/>
        </w:numPr>
        <w:spacing w:lineRule="auto" w:line="240" w:before="0" w:after="0"/>
        <w:jc w:val="both"/>
        <w:rPr/>
      </w:pPr>
      <w:r>
        <w:rPr>
          <w:rStyle w:val="Strong"/>
        </w:rPr>
        <w:t>Wielopierścieniowe węglowodory aromatyczne</w:t>
      </w:r>
      <w:r>
        <w:rPr/>
        <w:t xml:space="preserve"> (WWA): najbardziej niebezpieczny jest benzo(a)piren, gdyż posiada właściwości rakotwórcze (uszkadza DNA, powoduje mutacje). Powoduje problemy z oddychaniem oraz podrażnia układ oddechowy;</w:t>
      </w:r>
    </w:p>
    <w:p>
      <w:pPr>
        <w:pStyle w:val="Normal"/>
        <w:numPr>
          <w:ilvl w:val="0"/>
          <w:numId w:val="2"/>
        </w:numPr>
        <w:spacing w:lineRule="auto" w:line="240" w:before="0" w:after="0"/>
        <w:jc w:val="both"/>
        <w:rPr/>
      </w:pPr>
      <w:r>
        <w:rPr>
          <w:rStyle w:val="Strong"/>
        </w:rPr>
        <w:t>Dwutlenek siarki:</w:t>
      </w:r>
      <w:r>
        <w:rPr/>
        <w:t xml:space="preserve"> wywołuje bóle głowy, podrażnienia oczu, gardła i nosa, uszkadza drogi oddechowe, powoduje zmiany skórne, choroby układu krążenia, a także poważne zmiany w rogówce oka;</w:t>
      </w:r>
    </w:p>
    <w:p>
      <w:pPr>
        <w:pStyle w:val="Normal"/>
        <w:numPr>
          <w:ilvl w:val="0"/>
          <w:numId w:val="2"/>
        </w:numPr>
        <w:spacing w:lineRule="auto" w:line="240" w:before="0" w:afterAutospacing="1"/>
        <w:jc w:val="both"/>
        <w:rPr/>
      </w:pPr>
      <w:r>
        <w:rPr>
          <w:rStyle w:val="Strong"/>
        </w:rPr>
        <w:t>Dioksyny:</w:t>
      </w:r>
      <w:r>
        <w:rPr/>
        <w:t xml:space="preserve"> działają silnie mutagennie naruszając strukturę DNA. Posiadają właściwości rakotwórcze, zaburzają funkcjonowanie układu odpornościowego, trudno usunąć je z organizmu, są przyczyną niepłodności.</w:t>
      </w:r>
    </w:p>
    <w:p>
      <w:pPr>
        <w:pStyle w:val="Normal"/>
        <w:jc w:val="both"/>
        <w:rPr/>
      </w:pPr>
      <w:r>
        <w:rPr>
          <w:b/>
        </w:rPr>
        <w:t>Dwutlenek węgla</w:t>
      </w:r>
      <w:r>
        <w:rPr/>
        <w:t xml:space="preserve"> nie jest zanieczyszczeniem, ale ze względu na to, że stanowi 99% emisji gazów cieplarnianych i wskazuje o wielkości emisji z danego źródła.</w:t>
      </w:r>
    </w:p>
    <w:p>
      <w:pPr>
        <w:pStyle w:val="Normal"/>
        <w:jc w:val="both"/>
        <w:rPr/>
      </w:pPr>
      <w:r>
        <w:rPr/>
      </w:r>
    </w:p>
    <w:p>
      <w:pPr>
        <w:pStyle w:val="Normal"/>
        <w:jc w:val="both"/>
        <w:rPr/>
      </w:pPr>
      <w:r>
        <w:rPr/>
        <w:t xml:space="preserve">Emisje z dużych zakładów udało się ogarnąć. Określono strefy oddziaływania, stężenia dopuszczalne, dopracowano systemy filtrów i nałożono kary za przekroczenia norm. </w:t>
      </w:r>
    </w:p>
    <w:p>
      <w:pPr>
        <w:pStyle w:val="Normal"/>
        <w:jc w:val="both"/>
        <w:rPr>
          <w:color w:val="171717" w:themeColor="background2" w:themeShade="1a"/>
        </w:rPr>
      </w:pPr>
      <w:r>
        <w:rPr/>
        <w:t xml:space="preserve">Emisje ze źródeł, z których zanieczyszczenia wyrzucane są poniżej wysokości 40 m </w:t>
      </w:r>
      <w:r>
        <w:rPr>
          <w:color w:val="171717" w:themeColor="background2" w:themeShade="1a"/>
        </w:rPr>
        <w:t xml:space="preserve">nazywamy niską emisją. </w:t>
      </w:r>
    </w:p>
    <w:p>
      <w:pPr>
        <w:pStyle w:val="Normal"/>
        <w:jc w:val="both"/>
        <w:rPr/>
      </w:pPr>
      <w:r>
        <w:rPr/>
        <w:t>W ten sposób energia elektryczna (produkowana głównie przez duże zakłady energetyczne) nie zalicza się do energii o której ograniczenie zabiega się w ramach działań ograniczających niską emisję.</w:t>
      </w:r>
    </w:p>
    <w:p>
      <w:pPr>
        <w:pStyle w:val="Normal"/>
        <w:jc w:val="both"/>
        <w:rPr/>
      </w:pPr>
      <w:r>
        <w:rPr/>
        <w:t>Stąd zmiana sprawności urządzeń elektrycznych, zamiana urządzeń wykorzystujących energię spalania paliw kopalnych na urządzenia elektryczne (grzejniki elektryczne, pompy ciepła, samochody czy skutery elektryczne) jest działaniem w zakresie ograniczenia niskiej emisji.</w:t>
      </w:r>
    </w:p>
    <w:p>
      <w:pPr>
        <w:pStyle w:val="Normal"/>
        <w:jc w:val="both"/>
        <w:rPr>
          <w:b/>
          <w:b/>
        </w:rPr>
      </w:pPr>
      <w:r>
        <w:rPr>
          <w:b/>
        </w:rPr>
        <w:t>Jak ograniczyć niską emisję</w:t>
      </w:r>
    </w:p>
    <w:p>
      <w:pPr>
        <w:pStyle w:val="Normal"/>
        <w:jc w:val="both"/>
        <w:rPr/>
      </w:pPr>
      <w:r>
        <w:rPr/>
        <w:t xml:space="preserve">Skoro każda produkcja dóbr związana jest z zanieczyszczeniem, a produkcję danego dobra możemy produkować w różny sposób tj.: z różnych materiałów i źródeł energii, to nasuwają się generalnie trzy działania których wynikiem będzie ograniczenie niskiej emisji: </w:t>
      </w:r>
    </w:p>
    <w:p>
      <w:pPr>
        <w:pStyle w:val="Normal"/>
        <w:jc w:val="both"/>
        <w:rPr/>
      </w:pPr>
      <w:r>
        <w:rPr/>
        <w:t xml:space="preserve">1) ograniczenie produkcji, </w:t>
      </w:r>
    </w:p>
    <w:p>
      <w:pPr>
        <w:pStyle w:val="Normal"/>
        <w:jc w:val="both"/>
        <w:rPr/>
      </w:pPr>
      <w:r>
        <w:rPr/>
        <w:t xml:space="preserve">2) zmiana technologii produkcji </w:t>
      </w:r>
    </w:p>
    <w:p>
      <w:pPr>
        <w:pStyle w:val="Normal"/>
        <w:jc w:val="both"/>
        <w:rPr/>
      </w:pPr>
      <w:r>
        <w:rPr/>
        <w:t>3) zmiana źródła energii na mniej obciążającą środowisko.</w:t>
      </w:r>
    </w:p>
    <w:p>
      <w:pPr>
        <w:pStyle w:val="Normal"/>
        <w:jc w:val="both"/>
        <w:rPr/>
      </w:pPr>
      <w:r>
        <w:rPr/>
        <w:t>Przekładając na obraz z gospodarstwa domowego – mamy trzy rozwiązania by w domu ograniczyć niską emisję:</w:t>
      </w:r>
    </w:p>
    <w:p>
      <w:pPr>
        <w:pStyle w:val="ListParagraph"/>
        <w:numPr>
          <w:ilvl w:val="0"/>
          <w:numId w:val="1"/>
        </w:numPr>
        <w:jc w:val="both"/>
        <w:rPr/>
      </w:pPr>
      <w:r>
        <w:rPr/>
        <w:t>Przeprowadzić termomodernizację domu lub zamknąć pomieszczenia których nie przebywamy czy obniżyć temperaturę</w:t>
      </w:r>
    </w:p>
    <w:p>
      <w:pPr>
        <w:pStyle w:val="ListParagraph"/>
        <w:numPr>
          <w:ilvl w:val="0"/>
          <w:numId w:val="1"/>
        </w:numPr>
        <w:jc w:val="both"/>
        <w:rPr/>
      </w:pPr>
      <w:r>
        <w:rPr/>
        <w:t>Wymienić kocioł na sprawniejszy np. kopciucha na nowy (w sprzedaży są tylko kotły 5 klasy / ecodesign/ kondensacyjne)</w:t>
      </w:r>
    </w:p>
    <w:p>
      <w:pPr>
        <w:pStyle w:val="ListParagraph"/>
        <w:numPr>
          <w:ilvl w:val="0"/>
          <w:numId w:val="1"/>
        </w:numPr>
        <w:jc w:val="both"/>
        <w:rPr/>
      </w:pPr>
      <w:r>
        <w:rPr/>
        <w:t>Zmienić paliwo na mniej obciążające środowisko np. z węglowego na gazowe</w:t>
      </w:r>
    </w:p>
    <w:p>
      <w:pPr>
        <w:pStyle w:val="Normal"/>
        <w:jc w:val="both"/>
        <w:rPr/>
      </w:pPr>
      <w:r>
        <w:rPr/>
        <w:t>Chciało by się, by nasze działania ograniczeniu niskiej emisji, (służące również sąsiadom) nam się opłacały. Jednak koszty inwestycji w stosunku do rocznych kosztów energii zaoszczędzonej w wyniku oszczędności paliw kopalnych mogą równoważyć się dopiero po 15-40 latach. Na domiar, termomodernizacja budynku nie gwarantuje, że zmniejszymy ilość zużywanej energii (co wydawało nam się podstawą naszej inwestycji). Wielokrotnie bowiem się zdarza, że na skutek naszej inwestycji na tyle podnieśliśmy komfort naszego życia, że domownicy przestają dbać o to co stało się nawykiem – oszczędność wody, zbieranie chrustu na opał, ograniczanie wentylacji, zamykanie rolet w mroźne i odsłanianie zasłon w słoneczne dni. Dodatkowo zaczynamy ogrzewać i korzystać z przestrzeni które wykorzystywane były tylko sezonowo tj. poddasza, garaże, ganki. Kierunek działań jest jednak właściwy.</w:t>
      </w:r>
    </w:p>
    <w:p>
      <w:pPr>
        <w:pStyle w:val="Normal"/>
        <w:jc w:val="both"/>
        <w:rPr>
          <w:b/>
          <w:b/>
        </w:rPr>
      </w:pPr>
      <w:r>
        <w:rPr>
          <w:b/>
        </w:rPr>
        <w:t>Termomodernizacja</w:t>
      </w:r>
    </w:p>
    <w:p>
      <w:pPr>
        <w:pStyle w:val="Normal"/>
        <w:jc w:val="both"/>
        <w:rPr/>
      </w:pPr>
      <w:r>
        <w:rPr/>
        <w:t>Termomodernizacja budynków to szereg usprawnień i działań mających na celu zmniejszenie zapotrzebowania i zużycia energii cieplnej. Przyczynia się do zredukowania zużycia energii co w konsekwencji ograniczy emisje zanieczyszczeń do atmosfery</w:t>
      </w:r>
      <w:r>
        <w:rPr>
          <w:rStyle w:val="Zakotwiczenieprzypisudolnego"/>
        </w:rPr>
        <w:footnoteReference w:id="4"/>
      </w:r>
    </w:p>
    <w:p>
      <w:pPr>
        <w:pStyle w:val="Normal"/>
        <w:jc w:val="both"/>
        <w:rPr/>
      </w:pPr>
      <w:r>
        <w:rPr/>
        <w:t xml:space="preserve">Obecnie większość domów w Polsce jest niedocieplona lub docieplona w niewystarczającym stopniu, a w starszych domach, które nie przeszły termomodernizacji, tracona jest wciąż znaczna część wytwarzanego ciepła. </w:t>
      </w:r>
    </w:p>
    <w:p>
      <w:pPr>
        <w:pStyle w:val="Normal"/>
        <w:spacing w:before="0" w:after="0"/>
        <w:jc w:val="both"/>
        <w:rPr/>
      </w:pPr>
      <w:r>
        <w:rPr/>
        <w:t>Do działań termomodernizacyjnych budynku należy zaliczyć:</w:t>
      </w:r>
    </w:p>
    <w:p>
      <w:pPr>
        <w:pStyle w:val="Normal"/>
        <w:numPr>
          <w:ilvl w:val="0"/>
          <w:numId w:val="3"/>
        </w:numPr>
        <w:spacing w:before="0" w:after="0"/>
        <w:jc w:val="both"/>
        <w:rPr/>
      </w:pPr>
      <w:r>
        <w:rPr/>
        <w:t>proces, prac i działań, realizowany w przegrodach poprzez:</w:t>
      </w:r>
    </w:p>
    <w:p>
      <w:pPr>
        <w:pStyle w:val="Normal"/>
        <w:numPr>
          <w:ilvl w:val="0"/>
          <w:numId w:val="4"/>
        </w:numPr>
        <w:spacing w:before="0" w:after="0"/>
        <w:jc w:val="both"/>
        <w:rPr/>
      </w:pPr>
      <w:r>
        <w:rPr/>
        <w:t>docieplenie ścian zewnętrznych;</w:t>
      </w:r>
    </w:p>
    <w:p>
      <w:pPr>
        <w:pStyle w:val="Normal"/>
        <w:numPr>
          <w:ilvl w:val="0"/>
          <w:numId w:val="4"/>
        </w:numPr>
        <w:spacing w:before="0" w:after="0"/>
        <w:jc w:val="both"/>
        <w:rPr/>
      </w:pPr>
      <w:r>
        <w:rPr/>
        <w:t>docieplenie stropów i podłóg na gruncie;</w:t>
      </w:r>
    </w:p>
    <w:p>
      <w:pPr>
        <w:pStyle w:val="Normal"/>
        <w:numPr>
          <w:ilvl w:val="0"/>
          <w:numId w:val="4"/>
        </w:numPr>
        <w:spacing w:before="0" w:after="0"/>
        <w:jc w:val="both"/>
        <w:rPr/>
      </w:pPr>
      <w:r>
        <w:rPr/>
        <w:t>docieplenie dachów, stropodachów wentylowanych i pełnych, stropów pod nieogrzewanymi poddaszami;</w:t>
      </w:r>
    </w:p>
    <w:p>
      <w:pPr>
        <w:pStyle w:val="Normal"/>
        <w:numPr>
          <w:ilvl w:val="0"/>
          <w:numId w:val="4"/>
        </w:numPr>
        <w:spacing w:before="0" w:after="0"/>
        <w:jc w:val="both"/>
        <w:rPr/>
      </w:pPr>
      <w:r>
        <w:rPr/>
        <w:t>wymiany stolarki okiennej i drzwiowej;</w:t>
      </w:r>
    </w:p>
    <w:p>
      <w:pPr>
        <w:pStyle w:val="Normal"/>
        <w:numPr>
          <w:ilvl w:val="0"/>
          <w:numId w:val="5"/>
        </w:numPr>
        <w:spacing w:before="0" w:after="0"/>
        <w:jc w:val="both"/>
        <w:rPr/>
      </w:pPr>
      <w:r>
        <w:rPr/>
        <w:t>modernizację instalacji :</w:t>
      </w:r>
    </w:p>
    <w:p>
      <w:pPr>
        <w:pStyle w:val="Normal"/>
        <w:numPr>
          <w:ilvl w:val="0"/>
          <w:numId w:val="6"/>
        </w:numPr>
        <w:spacing w:before="0" w:after="0"/>
        <w:jc w:val="both"/>
        <w:rPr/>
      </w:pPr>
      <w:r>
        <w:rPr/>
        <w:t>montaż automatyki pogodowej i sterującej;</w:t>
      </w:r>
    </w:p>
    <w:p>
      <w:pPr>
        <w:pStyle w:val="Normal"/>
        <w:numPr>
          <w:ilvl w:val="0"/>
          <w:numId w:val="6"/>
        </w:numPr>
        <w:spacing w:before="0" w:after="0"/>
        <w:jc w:val="both"/>
        <w:rPr/>
      </w:pPr>
      <w:r>
        <w:rPr/>
        <w:t>wymiany bądź modernizację źródła ciepła;</w:t>
      </w:r>
    </w:p>
    <w:p>
      <w:pPr>
        <w:pStyle w:val="Normal"/>
        <w:numPr>
          <w:ilvl w:val="0"/>
          <w:numId w:val="6"/>
        </w:numPr>
        <w:spacing w:before="0" w:after="0"/>
        <w:jc w:val="both"/>
        <w:rPr/>
      </w:pPr>
      <w:r>
        <w:rPr/>
        <w:t>wymiany bądź modernizacje instalacji centralnego ogrzewania (co);</w:t>
      </w:r>
    </w:p>
    <w:p>
      <w:pPr>
        <w:pStyle w:val="Normal"/>
        <w:numPr>
          <w:ilvl w:val="0"/>
          <w:numId w:val="6"/>
        </w:numPr>
        <w:spacing w:before="0" w:after="0"/>
        <w:jc w:val="both"/>
        <w:rPr/>
      </w:pPr>
      <w:r>
        <w:rPr/>
        <w:t xml:space="preserve">wymiany bądź modernizacje instalacji ciepłej wody użytkowej (cwu); </w:t>
      </w:r>
    </w:p>
    <w:p>
      <w:pPr>
        <w:pStyle w:val="Normal"/>
        <w:numPr>
          <w:ilvl w:val="0"/>
          <w:numId w:val="6"/>
        </w:numPr>
        <w:spacing w:before="0" w:after="0"/>
        <w:jc w:val="both"/>
        <w:rPr/>
      </w:pPr>
      <w:r>
        <w:rPr/>
        <w:t>modernizację systemu wentylacji;</w:t>
      </w:r>
    </w:p>
    <w:p>
      <w:pPr>
        <w:pStyle w:val="Normal"/>
        <w:numPr>
          <w:ilvl w:val="0"/>
          <w:numId w:val="6"/>
        </w:numPr>
        <w:spacing w:before="0" w:after="0"/>
        <w:jc w:val="both"/>
        <w:rPr/>
      </w:pPr>
      <w:r>
        <w:rPr/>
        <w:t>zastosowanie systemów wykorzystujących odnawialne źródła energii (OZE);</w:t>
      </w:r>
    </w:p>
    <w:p>
      <w:pPr>
        <w:pStyle w:val="Normal"/>
        <w:spacing w:before="0" w:after="0"/>
        <w:jc w:val="both"/>
        <w:rPr/>
      </w:pPr>
      <w:r>
        <w:rPr/>
        <w:t>Zanim jednak przystąpimy do działania należy nasze usprawnienia dobrze przeanalizować, a że budżet domowy mamy ograniczony, to zamiary dobrze było by urealnić. Dokumentem służącym do tego celu jest Audyt termomodernizacyjny.</w:t>
      </w:r>
    </w:p>
    <w:p>
      <w:pPr>
        <w:pStyle w:val="Normal"/>
        <w:jc w:val="both"/>
        <w:rPr>
          <w:b/>
          <w:b/>
        </w:rPr>
      </w:pPr>
      <w:r>
        <w:rPr>
          <w:b/>
        </w:rPr>
        <w:t>Audyt</w:t>
      </w:r>
    </w:p>
    <w:p>
      <w:pPr>
        <w:pStyle w:val="Normal"/>
        <w:jc w:val="both"/>
        <w:rPr/>
      </w:pPr>
      <w:r>
        <w:rPr/>
        <w:t>Audyt to porównanie zużyć energii stanu obecnego budynku ze stanem po termomodernizacji z analizą kosztów inwestycji w poszczególne usprawnienia oraz z wyborem najbardziej opłacalnej opcji. Najbardziej opłacalnej oznacza np. dobranie takiej grubości materiału izolacyjnego który spełnia już wymagania techniczne zgodnie z prawem, a którego koszt nie jest przeszacowany w stosunku do kosztu oszczędności energii. Szybko się jednak okazało, że Audyt który miał być przygotowywany przez właścicieli domów obejmował tak dużo zmiennych, że może być wykonywany jedynie przez specjalistów w tej dziedzinie. W konsekwencji premia termomodernizacyjna kierowana była głównie do termomodernizacji domów wielorodzinnych.</w:t>
      </w:r>
    </w:p>
    <w:p>
      <w:pPr>
        <w:pStyle w:val="Normal"/>
        <w:jc w:val="both"/>
        <w:rPr/>
      </w:pPr>
      <w:r>
        <w:rPr/>
        <w:t>Na rynku znajduje się jednak dużo ciekawych opracowań, na podstawie których samemu dosyć precyzyjnie można oszacować stan obecny oraz zyski związane z wprowadzonymi zmianami. Dobrym tego przykładem jest kalkulator na którym można zamodelować swój dom oraz zmiany w zakresie termomodernizacji: https://ekodom.edu.pl/.</w:t>
      </w:r>
    </w:p>
    <w:p>
      <w:pPr>
        <w:pStyle w:val="Normal"/>
        <w:jc w:val="both"/>
        <w:rPr/>
      </w:pPr>
      <w:r>
        <w:rPr/>
        <w:drawing>
          <wp:inline distT="0" distB="0" distL="0" distR="0">
            <wp:extent cx="5800090" cy="3092450"/>
            <wp:effectExtent l="0" t="0" r="0" b="0"/>
            <wp:docPr id="1" name="Obraz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3" descr=""/>
                    <pic:cNvPicPr>
                      <a:picLocks noChangeAspect="1" noChangeArrowheads="1"/>
                    </pic:cNvPicPr>
                  </pic:nvPicPr>
                  <pic:blipFill>
                    <a:blip r:embed="rId2"/>
                    <a:stretch>
                      <a:fillRect/>
                    </a:stretch>
                  </pic:blipFill>
                  <pic:spPr bwMode="auto">
                    <a:xfrm>
                      <a:off x="0" y="0"/>
                      <a:ext cx="5800090" cy="3092450"/>
                    </a:xfrm>
                    <a:prstGeom prst="rect">
                      <a:avLst/>
                    </a:prstGeom>
                  </pic:spPr>
                </pic:pic>
              </a:graphicData>
            </a:graphic>
          </wp:inline>
        </w:drawing>
      </w:r>
      <w:r>
        <w:rPr/>
        <w:t xml:space="preserve"> </w:t>
      </w:r>
    </w:p>
    <w:p>
      <w:pPr>
        <w:pStyle w:val="Normal"/>
        <w:jc w:val="both"/>
        <w:rPr/>
      </w:pPr>
      <w:r>
        <w:rPr/>
        <w:t>Kalkulator w przejrzysty sposób wizualizuje bilans energetyczny budynku. Przedstawia bowiem wszystkie źródła energii jaka wchodzi do budynku – energia z kotła, energia bytowa mieszkańców czy energia słońca; oraz drogi ucieczki tej energii w zależności od rodzaju jak i izolacyjności przegród. Bardzo ciekawym elementem, który został wzięty pod uwagę jest rok uzyskania pozwolenia na budowę. Ze wzg na to, że od 1982 r prawo w zakresie wymagań przenikalności przegród bardzo często się zmieniało, roku budowy domu określa wymagania które na z chwilą wznoszenia musiały być dotrzymane.</w:t>
      </w:r>
    </w:p>
    <w:tbl>
      <w:tblPr>
        <w:tblW w:w="6660" w:type="dxa"/>
        <w:jc w:val="left"/>
        <w:tblInd w:w="0" w:type="dxa"/>
        <w:tblLayout w:type="fixed"/>
        <w:tblCellMar>
          <w:top w:w="0" w:type="dxa"/>
          <w:left w:w="70" w:type="dxa"/>
          <w:bottom w:w="0" w:type="dxa"/>
          <w:right w:w="70" w:type="dxa"/>
        </w:tblCellMar>
        <w:tblLook w:firstRow="1" w:noVBand="1" w:lastRow="0" w:firstColumn="1" w:lastColumn="0" w:noHBand="0" w:val="04a0"/>
      </w:tblPr>
      <w:tblGrid>
        <w:gridCol w:w="400"/>
        <w:gridCol w:w="1500"/>
        <w:gridCol w:w="939"/>
        <w:gridCol w:w="1001"/>
        <w:gridCol w:w="939"/>
        <w:gridCol w:w="941"/>
        <w:gridCol w:w="939"/>
      </w:tblGrid>
      <w:tr>
        <w:trPr>
          <w:trHeight w:val="600" w:hRule="atLeast"/>
        </w:trPr>
        <w:tc>
          <w:tcPr>
            <w:tcW w:w="400" w:type="dxa"/>
            <w:tcBorders>
              <w:right w:val="single" w:sz="4" w:space="0" w:color="000000"/>
            </w:tcBorders>
            <w:shd w:color="auto" w:fill="auto" w:val="clear"/>
            <w:vAlign w:val="center"/>
          </w:tcPr>
          <w:p>
            <w:pPr>
              <w:pStyle w:val="Normal"/>
              <w:widowControl w:val="false"/>
              <w:spacing w:lineRule="auto" w:line="240" w:before="0" w:after="0"/>
              <w:jc w:val="right"/>
              <w:rPr>
                <w:rFonts w:ascii="Arial CE" w:hAnsi="Arial CE" w:eastAsia="Times New Roman" w:cs="Times New Roman"/>
                <w:sz w:val="20"/>
                <w:szCs w:val="20"/>
                <w:lang w:eastAsia="pl-PL"/>
              </w:rPr>
            </w:pPr>
            <w:r>
              <w:rPr>
                <w:rFonts w:eastAsia="Times New Roman" w:cs="Times New Roman" w:ascii="Arial CE" w:hAnsi="Arial CE"/>
                <w:sz w:val="20"/>
                <w:szCs w:val="20"/>
                <w:lang w:eastAsia="pl-PL"/>
              </w:rPr>
              <w:t> </w:t>
            </w:r>
          </w:p>
        </w:tc>
        <w:tc>
          <w:tcPr>
            <w:tcW w:w="1500" w:type="dxa"/>
            <w:vMerge w:val="restart"/>
            <w:tcBorders>
              <w:left w:val="single" w:sz="4" w:space="0" w:color="000000"/>
              <w:right w:val="single" w:sz="4" w:space="0" w:color="000000"/>
            </w:tcBorders>
            <w:shd w:color="000000" w:fill="D9D9D9" w:val="clear"/>
            <w:vAlign w:val="center"/>
          </w:tcPr>
          <w:p>
            <w:pPr>
              <w:pStyle w:val="Normal"/>
              <w:widowControl w:val="false"/>
              <w:spacing w:lineRule="auto" w:line="240" w:before="0" w:after="0"/>
              <w:jc w:val="center"/>
              <w:rPr>
                <w:rFonts w:ascii="Calibri" w:hAnsi="Calibri" w:eastAsia="Times New Roman" w:cs="Calibri"/>
                <w:b/>
                <w:b/>
                <w:bCs/>
                <w:color w:val="000000"/>
                <w:lang w:eastAsia="pl-PL"/>
              </w:rPr>
            </w:pPr>
            <w:r>
              <w:rPr>
                <w:rFonts w:eastAsia="Times New Roman" w:cs="Calibri"/>
                <w:b/>
                <w:bCs/>
                <w:color w:val="000000"/>
                <w:lang w:eastAsia="pl-PL"/>
              </w:rPr>
              <w:t>Rok wydania pozwolenia na budowę</w:t>
            </w:r>
          </w:p>
        </w:tc>
        <w:tc>
          <w:tcPr>
            <w:tcW w:w="939" w:type="dxa"/>
            <w:tcBorders>
              <w:bottom w:val="single" w:sz="4" w:space="0" w:color="000000"/>
              <w:right w:val="single" w:sz="4" w:space="0" w:color="000000"/>
            </w:tcBorders>
            <w:shd w:color="000000" w:fill="D9D9D9" w:val="clear"/>
            <w:vAlign w:val="center"/>
          </w:tcPr>
          <w:p>
            <w:pPr>
              <w:pStyle w:val="Normal"/>
              <w:widowControl w:val="false"/>
              <w:spacing w:lineRule="auto" w:line="240" w:before="0" w:after="0"/>
              <w:jc w:val="center"/>
              <w:rPr>
                <w:rFonts w:ascii="Calibri" w:hAnsi="Calibri" w:eastAsia="Times New Roman" w:cs="Calibri"/>
                <w:b/>
                <w:b/>
                <w:bCs/>
                <w:color w:val="000000"/>
                <w:lang w:eastAsia="pl-PL"/>
              </w:rPr>
            </w:pPr>
            <w:r>
              <w:rPr>
                <w:rFonts w:eastAsia="Times New Roman" w:cs="Calibri"/>
                <w:b/>
                <w:bCs/>
                <w:color w:val="000000"/>
                <w:lang w:eastAsia="pl-PL"/>
              </w:rPr>
              <w:t>Ściany zew</w:t>
            </w:r>
          </w:p>
        </w:tc>
        <w:tc>
          <w:tcPr>
            <w:tcW w:w="1001" w:type="dxa"/>
            <w:tcBorders>
              <w:bottom w:val="single" w:sz="4" w:space="0" w:color="000000"/>
              <w:right w:val="single" w:sz="4" w:space="0" w:color="000000"/>
            </w:tcBorders>
            <w:shd w:color="000000" w:fill="D9D9D9" w:val="clear"/>
            <w:vAlign w:val="center"/>
          </w:tcPr>
          <w:p>
            <w:pPr>
              <w:pStyle w:val="Normal"/>
              <w:widowControl w:val="false"/>
              <w:spacing w:lineRule="auto" w:line="240" w:before="0" w:after="0"/>
              <w:jc w:val="center"/>
              <w:rPr>
                <w:rFonts w:ascii="Calibri" w:hAnsi="Calibri" w:eastAsia="Times New Roman" w:cs="Calibri"/>
                <w:b/>
                <w:b/>
                <w:bCs/>
                <w:color w:val="000000"/>
                <w:lang w:eastAsia="pl-PL"/>
              </w:rPr>
            </w:pPr>
            <w:r>
              <w:rPr>
                <w:rFonts w:eastAsia="Times New Roman" w:cs="Calibri"/>
                <w:b/>
                <w:bCs/>
                <w:color w:val="000000"/>
                <w:lang w:eastAsia="pl-PL"/>
              </w:rPr>
              <w:t>Stropo-dach</w:t>
            </w:r>
          </w:p>
        </w:tc>
        <w:tc>
          <w:tcPr>
            <w:tcW w:w="939" w:type="dxa"/>
            <w:tcBorders>
              <w:bottom w:val="single" w:sz="4" w:space="0" w:color="000000"/>
              <w:right w:val="single" w:sz="4" w:space="0" w:color="000000"/>
            </w:tcBorders>
            <w:shd w:color="000000" w:fill="D9D9D9" w:val="clear"/>
            <w:vAlign w:val="center"/>
          </w:tcPr>
          <w:p>
            <w:pPr>
              <w:pStyle w:val="Normal"/>
              <w:widowControl w:val="false"/>
              <w:spacing w:lineRule="auto" w:line="240" w:before="0" w:after="0"/>
              <w:jc w:val="center"/>
              <w:rPr>
                <w:rFonts w:ascii="Calibri" w:hAnsi="Calibri" w:eastAsia="Times New Roman" w:cs="Calibri"/>
                <w:b/>
                <w:b/>
                <w:bCs/>
                <w:color w:val="000000"/>
                <w:lang w:eastAsia="pl-PL"/>
              </w:rPr>
            </w:pPr>
            <w:r>
              <w:rPr>
                <w:rFonts w:eastAsia="Times New Roman" w:cs="Calibri"/>
                <w:b/>
                <w:bCs/>
                <w:color w:val="000000"/>
                <w:lang w:eastAsia="pl-PL"/>
              </w:rPr>
              <w:t>Podłoga</w:t>
            </w:r>
          </w:p>
        </w:tc>
        <w:tc>
          <w:tcPr>
            <w:tcW w:w="941" w:type="dxa"/>
            <w:tcBorders>
              <w:bottom w:val="single" w:sz="4" w:space="0" w:color="000000"/>
              <w:right w:val="single" w:sz="4" w:space="0" w:color="000000"/>
            </w:tcBorders>
            <w:shd w:color="000000" w:fill="D9D9D9" w:val="clear"/>
            <w:vAlign w:val="center"/>
          </w:tcPr>
          <w:p>
            <w:pPr>
              <w:pStyle w:val="Normal"/>
              <w:widowControl w:val="false"/>
              <w:spacing w:lineRule="auto" w:line="240" w:before="0" w:after="0"/>
              <w:jc w:val="center"/>
              <w:rPr>
                <w:rFonts w:ascii="Calibri" w:hAnsi="Calibri" w:eastAsia="Times New Roman" w:cs="Calibri"/>
                <w:b/>
                <w:b/>
                <w:bCs/>
                <w:color w:val="000000"/>
                <w:lang w:eastAsia="pl-PL"/>
              </w:rPr>
            </w:pPr>
            <w:r>
              <w:rPr>
                <w:rFonts w:eastAsia="Times New Roman" w:cs="Calibri"/>
                <w:b/>
                <w:bCs/>
                <w:color w:val="000000"/>
                <w:lang w:eastAsia="pl-PL"/>
              </w:rPr>
              <w:t>Okna</w:t>
            </w:r>
          </w:p>
        </w:tc>
        <w:tc>
          <w:tcPr>
            <w:tcW w:w="939" w:type="dxa"/>
            <w:tcBorders>
              <w:bottom w:val="single" w:sz="4" w:space="0" w:color="000000"/>
              <w:right w:val="single" w:sz="4" w:space="0" w:color="000000"/>
            </w:tcBorders>
            <w:shd w:color="000000" w:fill="D9D9D9" w:val="clear"/>
            <w:vAlign w:val="center"/>
          </w:tcPr>
          <w:p>
            <w:pPr>
              <w:pStyle w:val="Normal"/>
              <w:widowControl w:val="false"/>
              <w:spacing w:lineRule="auto" w:line="240" w:before="0" w:after="0"/>
              <w:jc w:val="center"/>
              <w:rPr>
                <w:rFonts w:ascii="Calibri" w:hAnsi="Calibri" w:eastAsia="Times New Roman" w:cs="Calibri"/>
                <w:b/>
                <w:b/>
                <w:bCs/>
                <w:color w:val="000000"/>
                <w:lang w:eastAsia="pl-PL"/>
              </w:rPr>
            </w:pPr>
            <w:r>
              <w:rPr>
                <w:rFonts w:eastAsia="Times New Roman" w:cs="Calibri"/>
                <w:b/>
                <w:bCs/>
                <w:color w:val="000000"/>
                <w:lang w:eastAsia="pl-PL"/>
              </w:rPr>
              <w:t>Drzwi</w:t>
            </w:r>
          </w:p>
        </w:tc>
      </w:tr>
      <w:tr>
        <w:trPr>
          <w:trHeight w:val="624" w:hRule="atLeast"/>
        </w:trPr>
        <w:tc>
          <w:tcPr>
            <w:tcW w:w="400" w:type="dxa"/>
            <w:tcBorders/>
            <w:shd w:color="auto" w:fill="auto" w:val="clear"/>
            <w:vAlign w:val="center"/>
          </w:tcPr>
          <w:p>
            <w:pPr>
              <w:pStyle w:val="Normal"/>
              <w:widowControl w:val="false"/>
              <w:spacing w:lineRule="auto" w:line="240" w:before="0" w:after="0"/>
              <w:jc w:val="center"/>
              <w:rPr>
                <w:rFonts w:ascii="Calibri" w:hAnsi="Calibri" w:eastAsia="Times New Roman" w:cs="Calibri"/>
                <w:b/>
                <w:b/>
                <w:bCs/>
                <w:color w:val="000000"/>
                <w:lang w:eastAsia="pl-PL"/>
              </w:rPr>
            </w:pPr>
            <w:r>
              <w:rPr>
                <w:rFonts w:eastAsia="Times New Roman" w:cs="Calibri"/>
                <w:b/>
                <w:bCs/>
                <w:color w:val="000000"/>
                <w:lang w:eastAsia="pl-PL"/>
              </w:rPr>
            </w:r>
          </w:p>
        </w:tc>
        <w:tc>
          <w:tcPr>
            <w:tcW w:w="1500" w:type="dxa"/>
            <w:vMerge w:val="continue"/>
            <w:tcBorders>
              <w:left w:val="single" w:sz="4" w:space="0" w:color="000000"/>
              <w:right w:val="single" w:sz="4" w:space="0" w:color="000000"/>
            </w:tcBorders>
            <w:vAlign w:val="center"/>
          </w:tcPr>
          <w:p>
            <w:pPr>
              <w:pStyle w:val="Normal"/>
              <w:widowControl w:val="false"/>
              <w:spacing w:lineRule="auto" w:line="240" w:before="0" w:after="0"/>
              <w:rPr>
                <w:rFonts w:ascii="Calibri" w:hAnsi="Calibri" w:eastAsia="Times New Roman" w:cs="Calibri"/>
                <w:b/>
                <w:b/>
                <w:bCs/>
                <w:color w:val="000000"/>
                <w:lang w:eastAsia="pl-PL"/>
              </w:rPr>
            </w:pPr>
            <w:r>
              <w:rPr>
                <w:rFonts w:eastAsia="Times New Roman" w:cs="Calibri"/>
                <w:b/>
                <w:bCs/>
                <w:color w:val="000000"/>
                <w:lang w:eastAsia="pl-PL"/>
              </w:rPr>
            </w:r>
          </w:p>
        </w:tc>
        <w:tc>
          <w:tcPr>
            <w:tcW w:w="4759" w:type="dxa"/>
            <w:gridSpan w:val="5"/>
            <w:tcBorders>
              <w:top w:val="single" w:sz="4" w:space="0" w:color="000000"/>
              <w:bottom w:val="single" w:sz="8" w:space="0" w:color="000000"/>
            </w:tcBorders>
            <w:shd w:color="000000" w:fill="D9D9D9" w:val="clear"/>
            <w:vAlign w:val="center"/>
          </w:tcPr>
          <w:p>
            <w:pPr>
              <w:pStyle w:val="Normal"/>
              <w:widowControl w:val="false"/>
              <w:spacing w:lineRule="auto" w:line="240" w:before="0" w:after="0"/>
              <w:jc w:val="center"/>
              <w:rPr>
                <w:rFonts w:ascii="Calibri" w:hAnsi="Calibri" w:eastAsia="Times New Roman" w:cs="Calibri"/>
                <w:b/>
                <w:b/>
                <w:bCs/>
                <w:color w:val="000000"/>
                <w:lang w:eastAsia="pl-PL"/>
              </w:rPr>
            </w:pPr>
            <w:r>
              <w:rPr>
                <w:rFonts w:eastAsia="Times New Roman" w:cs="Calibri"/>
                <w:b/>
                <w:bCs/>
                <w:color w:val="000000"/>
                <w:lang w:eastAsia="pl-PL"/>
              </w:rPr>
              <w:t>max wartości przenikania ciepła</w:t>
              <w:br/>
              <w:t xml:space="preserve"> przez przegrodę U [W/m</w:t>
            </w:r>
            <w:r>
              <w:rPr>
                <w:rFonts w:eastAsia="Times New Roman" w:cs="Calibri"/>
                <w:b/>
                <w:bCs/>
                <w:color w:val="000000"/>
                <w:vertAlign w:val="superscript"/>
                <w:lang w:eastAsia="pl-PL"/>
              </w:rPr>
              <w:t>2</w:t>
            </w:r>
            <w:r>
              <w:rPr>
                <w:rFonts w:eastAsia="Times New Roman" w:cs="Calibri"/>
                <w:b/>
                <w:bCs/>
                <w:color w:val="000000"/>
                <w:lang w:eastAsia="pl-PL"/>
              </w:rPr>
              <w:t>K]</w:t>
            </w:r>
          </w:p>
        </w:tc>
      </w:tr>
      <w:tr>
        <w:trPr>
          <w:trHeight w:val="288" w:hRule="atLeast"/>
        </w:trPr>
        <w:tc>
          <w:tcPr>
            <w:tcW w:w="400" w:type="dxa"/>
            <w:tcBorders/>
            <w:shd w:color="auto" w:fill="auto" w:val="clear"/>
            <w:vAlign w:val="center"/>
          </w:tcPr>
          <w:p>
            <w:pPr>
              <w:pStyle w:val="Normal"/>
              <w:widowControl w:val="false"/>
              <w:spacing w:lineRule="auto" w:line="240" w:before="0" w:after="0"/>
              <w:jc w:val="right"/>
              <w:rPr>
                <w:rFonts w:ascii="Arial CE" w:hAnsi="Arial CE" w:eastAsia="Times New Roman" w:cs="Times New Roman"/>
                <w:sz w:val="20"/>
                <w:szCs w:val="20"/>
                <w:lang w:eastAsia="pl-PL"/>
              </w:rPr>
            </w:pPr>
            <w:r>
              <w:rPr>
                <w:rFonts w:eastAsia="Times New Roman" w:cs="Times New Roman" w:ascii="Arial CE" w:hAnsi="Arial CE"/>
                <w:sz w:val="20"/>
                <w:szCs w:val="20"/>
                <w:lang w:eastAsia="pl-PL"/>
              </w:rPr>
              <w:t>0</w:t>
            </w:r>
          </w:p>
        </w:tc>
        <w:tc>
          <w:tcPr>
            <w:tcW w:w="1500" w:type="dxa"/>
            <w:tcBorders>
              <w:left w:val="single" w:sz="4" w:space="0" w:color="000000"/>
              <w:bottom w:val="single" w:sz="4" w:space="0" w:color="000000"/>
            </w:tcBorders>
            <w:shd w:color="000000" w:fill="D9D9D9" w:val="clear"/>
            <w:vAlign w:val="center"/>
          </w:tcPr>
          <w:p>
            <w:pPr>
              <w:pStyle w:val="Normal"/>
              <w:widowControl w:val="false"/>
              <w:spacing w:lineRule="auto" w:line="240" w:before="0" w:after="0"/>
              <w:jc w:val="center"/>
              <w:rPr>
                <w:rFonts w:ascii="Calibri" w:hAnsi="Calibri" w:eastAsia="Times New Roman" w:cs="Calibri"/>
                <w:b/>
                <w:b/>
                <w:bCs/>
                <w:color w:val="000000"/>
                <w:lang w:eastAsia="pl-PL"/>
              </w:rPr>
            </w:pPr>
            <w:r>
              <w:rPr>
                <w:rFonts w:eastAsia="Times New Roman" w:cs="Calibri"/>
                <w:b/>
                <w:bCs/>
                <w:color w:val="000000"/>
                <w:lang w:eastAsia="pl-PL"/>
              </w:rPr>
              <w:t>?- 1982</w:t>
            </w:r>
          </w:p>
        </w:tc>
        <w:tc>
          <w:tcPr>
            <w:tcW w:w="939" w:type="dxa"/>
            <w:tcBorders>
              <w:bottom w:val="single" w:sz="4" w:space="0" w:color="000000"/>
              <w:right w:val="single" w:sz="4" w:space="0" w:color="000000"/>
            </w:tcBorders>
            <w:shd w:color="000000" w:fill="FFFF00" w:val="clear"/>
            <w:vAlign w:val="center"/>
          </w:tcPr>
          <w:p>
            <w:pPr>
              <w:pStyle w:val="Normal"/>
              <w:widowControl w:val="false"/>
              <w:spacing w:lineRule="auto" w:line="240" w:before="0" w:after="0"/>
              <w:jc w:val="center"/>
              <w:rPr>
                <w:rFonts w:ascii="Arial CE" w:hAnsi="Arial CE" w:eastAsia="Times New Roman" w:cs="Times New Roman"/>
                <w:sz w:val="20"/>
                <w:szCs w:val="20"/>
                <w:lang w:eastAsia="pl-PL"/>
              </w:rPr>
            </w:pPr>
            <w:r>
              <w:rPr>
                <w:rFonts w:eastAsia="Times New Roman" w:cs="Times New Roman" w:ascii="Arial CE" w:hAnsi="Arial CE"/>
                <w:sz w:val="20"/>
                <w:szCs w:val="20"/>
                <w:lang w:eastAsia="pl-PL"/>
              </w:rPr>
              <w:t>1,10</w:t>
            </w:r>
          </w:p>
        </w:tc>
        <w:tc>
          <w:tcPr>
            <w:tcW w:w="1001" w:type="dxa"/>
            <w:tcBorders>
              <w:bottom w:val="single" w:sz="4" w:space="0" w:color="000000"/>
              <w:right w:val="single" w:sz="4" w:space="0" w:color="000000"/>
            </w:tcBorders>
            <w:shd w:color="000000" w:fill="FFFF00" w:val="clear"/>
            <w:vAlign w:val="center"/>
          </w:tcPr>
          <w:p>
            <w:pPr>
              <w:pStyle w:val="Normal"/>
              <w:widowControl w:val="false"/>
              <w:spacing w:lineRule="auto" w:line="240" w:before="0" w:after="0"/>
              <w:jc w:val="center"/>
              <w:rPr>
                <w:rFonts w:ascii="Arial CE" w:hAnsi="Arial CE" w:eastAsia="Times New Roman" w:cs="Times New Roman"/>
                <w:sz w:val="20"/>
                <w:szCs w:val="20"/>
                <w:lang w:eastAsia="pl-PL"/>
              </w:rPr>
            </w:pPr>
            <w:r>
              <w:rPr>
                <w:rFonts w:eastAsia="Times New Roman" w:cs="Times New Roman" w:ascii="Arial CE" w:hAnsi="Arial CE"/>
                <w:sz w:val="20"/>
                <w:szCs w:val="20"/>
                <w:lang w:eastAsia="pl-PL"/>
              </w:rPr>
              <w:t>0,70</w:t>
            </w:r>
          </w:p>
        </w:tc>
        <w:tc>
          <w:tcPr>
            <w:tcW w:w="939" w:type="dxa"/>
            <w:vMerge w:val="restart"/>
            <w:tcBorders>
              <w:left w:val="single" w:sz="4" w:space="0" w:color="000000"/>
              <w:bottom w:val="single" w:sz="4" w:space="0" w:color="000000"/>
              <w:right w:val="single" w:sz="4" w:space="0" w:color="000000"/>
            </w:tcBorders>
            <w:shd w:color="000000" w:fill="FFFF00" w:val="clear"/>
            <w:vAlign w:val="center"/>
          </w:tcPr>
          <w:p>
            <w:pPr>
              <w:pStyle w:val="Normal"/>
              <w:widowControl w:val="false"/>
              <w:spacing w:lineRule="auto" w:line="240" w:before="0" w:after="0"/>
              <w:jc w:val="center"/>
              <w:rPr>
                <w:rFonts w:ascii="Arial CE" w:hAnsi="Arial CE" w:eastAsia="Times New Roman" w:cs="Times New Roman"/>
                <w:sz w:val="20"/>
                <w:szCs w:val="20"/>
                <w:lang w:eastAsia="pl-PL"/>
              </w:rPr>
            </w:pPr>
            <w:r>
              <w:rPr>
                <w:rFonts w:eastAsia="Times New Roman" w:cs="Times New Roman" w:ascii="Arial CE" w:hAnsi="Arial CE"/>
                <w:sz w:val="20"/>
                <w:szCs w:val="20"/>
                <w:lang w:eastAsia="pl-PL"/>
              </w:rPr>
              <w:t>0,80</w:t>
            </w:r>
          </w:p>
        </w:tc>
        <w:tc>
          <w:tcPr>
            <w:tcW w:w="941" w:type="dxa"/>
            <w:vMerge w:val="restart"/>
            <w:tcBorders>
              <w:left w:val="single" w:sz="4" w:space="0" w:color="000000"/>
              <w:bottom w:val="single" w:sz="4" w:space="0" w:color="000000"/>
              <w:right w:val="single" w:sz="4" w:space="0" w:color="000000"/>
            </w:tcBorders>
            <w:shd w:color="000000" w:fill="FFFF00" w:val="clear"/>
            <w:vAlign w:val="center"/>
          </w:tcPr>
          <w:p>
            <w:pPr>
              <w:pStyle w:val="Normal"/>
              <w:widowControl w:val="false"/>
              <w:spacing w:lineRule="auto" w:line="240" w:before="0" w:after="0"/>
              <w:jc w:val="center"/>
              <w:rPr>
                <w:rFonts w:ascii="Arial CE" w:hAnsi="Arial CE" w:eastAsia="Times New Roman" w:cs="Times New Roman"/>
                <w:sz w:val="20"/>
                <w:szCs w:val="20"/>
                <w:lang w:eastAsia="pl-PL"/>
              </w:rPr>
            </w:pPr>
            <w:r>
              <w:rPr>
                <w:rFonts w:eastAsia="Times New Roman" w:cs="Times New Roman" w:ascii="Arial CE" w:hAnsi="Arial CE"/>
                <w:sz w:val="20"/>
                <w:szCs w:val="20"/>
                <w:lang w:eastAsia="pl-PL"/>
              </w:rPr>
              <w:t>2,60</w:t>
            </w:r>
          </w:p>
        </w:tc>
        <w:tc>
          <w:tcPr>
            <w:tcW w:w="939" w:type="dxa"/>
            <w:vMerge w:val="restart"/>
            <w:tcBorders>
              <w:left w:val="single" w:sz="4" w:space="0" w:color="000000"/>
              <w:bottom w:val="single" w:sz="4" w:space="0" w:color="000000"/>
              <w:right w:val="single" w:sz="4" w:space="0" w:color="000000"/>
            </w:tcBorders>
            <w:shd w:color="000000" w:fill="FFFF00" w:val="clear"/>
            <w:vAlign w:val="center"/>
          </w:tcPr>
          <w:p>
            <w:pPr>
              <w:pStyle w:val="Normal"/>
              <w:widowControl w:val="false"/>
              <w:spacing w:lineRule="auto" w:line="240" w:before="0" w:after="0"/>
              <w:jc w:val="center"/>
              <w:rPr>
                <w:rFonts w:ascii="Arial CE" w:hAnsi="Arial CE" w:eastAsia="Times New Roman" w:cs="Times New Roman"/>
                <w:sz w:val="20"/>
                <w:szCs w:val="20"/>
                <w:lang w:eastAsia="pl-PL"/>
              </w:rPr>
            </w:pPr>
            <w:r>
              <w:rPr>
                <w:rFonts w:eastAsia="Times New Roman" w:cs="Times New Roman" w:ascii="Arial CE" w:hAnsi="Arial CE"/>
                <w:sz w:val="20"/>
                <w:szCs w:val="20"/>
                <w:lang w:eastAsia="pl-PL"/>
              </w:rPr>
              <w:t>2,60</w:t>
            </w:r>
          </w:p>
        </w:tc>
      </w:tr>
      <w:tr>
        <w:trPr>
          <w:trHeight w:val="288" w:hRule="atLeast"/>
        </w:trPr>
        <w:tc>
          <w:tcPr>
            <w:tcW w:w="400" w:type="dxa"/>
            <w:tcBorders/>
            <w:shd w:color="auto" w:fill="auto" w:val="clear"/>
            <w:vAlign w:val="center"/>
          </w:tcPr>
          <w:p>
            <w:pPr>
              <w:pStyle w:val="Normal"/>
              <w:widowControl w:val="false"/>
              <w:spacing w:lineRule="auto" w:line="240" w:before="0" w:after="0"/>
              <w:jc w:val="right"/>
              <w:rPr>
                <w:rFonts w:ascii="Arial CE" w:hAnsi="Arial CE" w:eastAsia="Times New Roman" w:cs="Times New Roman"/>
                <w:sz w:val="20"/>
                <w:szCs w:val="20"/>
                <w:lang w:eastAsia="pl-PL"/>
              </w:rPr>
            </w:pPr>
            <w:r>
              <w:rPr>
                <w:rFonts w:eastAsia="Times New Roman" w:cs="Times New Roman" w:ascii="Arial CE" w:hAnsi="Arial CE"/>
                <w:sz w:val="20"/>
                <w:szCs w:val="20"/>
                <w:lang w:eastAsia="pl-PL"/>
              </w:rPr>
              <w:t>1</w:t>
            </w:r>
          </w:p>
        </w:tc>
        <w:tc>
          <w:tcPr>
            <w:tcW w:w="1500" w:type="dxa"/>
            <w:tcBorders>
              <w:left w:val="single" w:sz="4" w:space="0" w:color="000000"/>
              <w:bottom w:val="single" w:sz="4" w:space="0" w:color="000000"/>
            </w:tcBorders>
            <w:shd w:color="000000" w:fill="D9D9D9" w:val="clear"/>
            <w:vAlign w:val="center"/>
          </w:tcPr>
          <w:p>
            <w:pPr>
              <w:pStyle w:val="Normal"/>
              <w:widowControl w:val="false"/>
              <w:spacing w:lineRule="auto" w:line="240" w:before="0" w:after="0"/>
              <w:jc w:val="center"/>
              <w:rPr>
                <w:rFonts w:ascii="Calibri" w:hAnsi="Calibri" w:eastAsia="Times New Roman" w:cs="Calibri"/>
                <w:b/>
                <w:b/>
                <w:bCs/>
                <w:color w:val="000000"/>
                <w:lang w:eastAsia="pl-PL"/>
              </w:rPr>
            </w:pPr>
            <w:r>
              <w:rPr>
                <w:rFonts w:eastAsia="Times New Roman" w:cs="Calibri"/>
                <w:b/>
                <w:bCs/>
                <w:color w:val="000000"/>
                <w:lang w:eastAsia="pl-PL"/>
              </w:rPr>
              <w:t>1983</w:t>
            </w:r>
          </w:p>
        </w:tc>
        <w:tc>
          <w:tcPr>
            <w:tcW w:w="939" w:type="dxa"/>
            <w:tcBorders>
              <w:bottom w:val="single" w:sz="4" w:space="0" w:color="000000"/>
              <w:right w:val="single" w:sz="4" w:space="0" w:color="000000"/>
            </w:tcBorders>
            <w:shd w:color="000000" w:fill="FFFF00" w:val="clear"/>
            <w:vAlign w:val="center"/>
          </w:tcPr>
          <w:p>
            <w:pPr>
              <w:pStyle w:val="Normal"/>
              <w:widowControl w:val="false"/>
              <w:spacing w:lineRule="auto" w:line="240" w:before="0" w:after="0"/>
              <w:jc w:val="center"/>
              <w:rPr>
                <w:rFonts w:ascii="Arial CE" w:hAnsi="Arial CE" w:eastAsia="Times New Roman" w:cs="Times New Roman"/>
                <w:sz w:val="20"/>
                <w:szCs w:val="20"/>
                <w:lang w:eastAsia="pl-PL"/>
              </w:rPr>
            </w:pPr>
            <w:r>
              <w:rPr>
                <w:rFonts w:eastAsia="Times New Roman" w:cs="Times New Roman" w:ascii="Arial CE" w:hAnsi="Arial CE"/>
                <w:sz w:val="20"/>
                <w:szCs w:val="20"/>
                <w:lang w:eastAsia="pl-PL"/>
              </w:rPr>
              <w:t>0,75</w:t>
            </w:r>
          </w:p>
        </w:tc>
        <w:tc>
          <w:tcPr>
            <w:tcW w:w="1001" w:type="dxa"/>
            <w:tcBorders>
              <w:bottom w:val="single" w:sz="4" w:space="0" w:color="000000"/>
              <w:right w:val="single" w:sz="4" w:space="0" w:color="000000"/>
            </w:tcBorders>
            <w:shd w:color="000000" w:fill="FFFF00" w:val="clear"/>
            <w:vAlign w:val="center"/>
          </w:tcPr>
          <w:p>
            <w:pPr>
              <w:pStyle w:val="Normal"/>
              <w:widowControl w:val="false"/>
              <w:spacing w:lineRule="auto" w:line="240" w:before="0" w:after="0"/>
              <w:jc w:val="center"/>
              <w:rPr>
                <w:rFonts w:ascii="Arial CE" w:hAnsi="Arial CE" w:eastAsia="Times New Roman" w:cs="Times New Roman"/>
                <w:sz w:val="20"/>
                <w:szCs w:val="20"/>
                <w:lang w:eastAsia="pl-PL"/>
              </w:rPr>
            </w:pPr>
            <w:r>
              <w:rPr>
                <w:rFonts w:eastAsia="Times New Roman" w:cs="Times New Roman" w:ascii="Arial CE" w:hAnsi="Arial CE"/>
                <w:sz w:val="20"/>
                <w:szCs w:val="20"/>
                <w:lang w:eastAsia="pl-PL"/>
              </w:rPr>
              <w:t>0,45</w:t>
            </w:r>
          </w:p>
        </w:tc>
        <w:tc>
          <w:tcPr>
            <w:tcW w:w="939" w:type="dxa"/>
            <w:vMerge w:val="continue"/>
            <w:tcBorders>
              <w:left w:val="single" w:sz="4" w:space="0" w:color="000000"/>
              <w:bottom w:val="single" w:sz="4" w:space="0" w:color="000000"/>
              <w:right w:val="single" w:sz="4" w:space="0" w:color="000000"/>
            </w:tcBorders>
            <w:vAlign w:val="center"/>
          </w:tcPr>
          <w:p>
            <w:pPr>
              <w:pStyle w:val="Normal"/>
              <w:widowControl w:val="false"/>
              <w:spacing w:lineRule="auto" w:line="240" w:before="0" w:after="0"/>
              <w:rPr>
                <w:rFonts w:ascii="Arial CE" w:hAnsi="Arial CE" w:eastAsia="Times New Roman" w:cs="Times New Roman"/>
                <w:sz w:val="20"/>
                <w:szCs w:val="20"/>
                <w:lang w:eastAsia="pl-PL"/>
              </w:rPr>
            </w:pPr>
            <w:r>
              <w:rPr>
                <w:rFonts w:eastAsia="Times New Roman" w:cs="Times New Roman" w:ascii="Arial CE" w:hAnsi="Arial CE"/>
                <w:sz w:val="20"/>
                <w:szCs w:val="20"/>
                <w:lang w:eastAsia="pl-PL"/>
              </w:rPr>
            </w:r>
          </w:p>
        </w:tc>
        <w:tc>
          <w:tcPr>
            <w:tcW w:w="941" w:type="dxa"/>
            <w:vMerge w:val="continue"/>
            <w:tcBorders>
              <w:left w:val="single" w:sz="4" w:space="0" w:color="000000"/>
              <w:bottom w:val="single" w:sz="4" w:space="0" w:color="000000"/>
              <w:right w:val="single" w:sz="4" w:space="0" w:color="000000"/>
            </w:tcBorders>
            <w:vAlign w:val="center"/>
          </w:tcPr>
          <w:p>
            <w:pPr>
              <w:pStyle w:val="Normal"/>
              <w:widowControl w:val="false"/>
              <w:spacing w:lineRule="auto" w:line="240" w:before="0" w:after="0"/>
              <w:rPr>
                <w:rFonts w:ascii="Arial CE" w:hAnsi="Arial CE" w:eastAsia="Times New Roman" w:cs="Times New Roman"/>
                <w:sz w:val="20"/>
                <w:szCs w:val="20"/>
                <w:lang w:eastAsia="pl-PL"/>
              </w:rPr>
            </w:pPr>
            <w:r>
              <w:rPr>
                <w:rFonts w:eastAsia="Times New Roman" w:cs="Times New Roman" w:ascii="Arial CE" w:hAnsi="Arial CE"/>
                <w:sz w:val="20"/>
                <w:szCs w:val="20"/>
                <w:lang w:eastAsia="pl-PL"/>
              </w:rPr>
            </w:r>
          </w:p>
        </w:tc>
        <w:tc>
          <w:tcPr>
            <w:tcW w:w="939" w:type="dxa"/>
            <w:vMerge w:val="continue"/>
            <w:tcBorders>
              <w:left w:val="single" w:sz="4" w:space="0" w:color="000000"/>
              <w:bottom w:val="single" w:sz="4" w:space="0" w:color="000000"/>
              <w:right w:val="single" w:sz="4" w:space="0" w:color="000000"/>
            </w:tcBorders>
            <w:vAlign w:val="center"/>
          </w:tcPr>
          <w:p>
            <w:pPr>
              <w:pStyle w:val="Normal"/>
              <w:widowControl w:val="false"/>
              <w:spacing w:lineRule="auto" w:line="240" w:before="0" w:after="0"/>
              <w:rPr>
                <w:rFonts w:ascii="Arial CE" w:hAnsi="Arial CE" w:eastAsia="Times New Roman" w:cs="Times New Roman"/>
                <w:sz w:val="20"/>
                <w:szCs w:val="20"/>
                <w:lang w:eastAsia="pl-PL"/>
              </w:rPr>
            </w:pPr>
            <w:r>
              <w:rPr>
                <w:rFonts w:eastAsia="Times New Roman" w:cs="Times New Roman" w:ascii="Arial CE" w:hAnsi="Arial CE"/>
                <w:sz w:val="20"/>
                <w:szCs w:val="20"/>
                <w:lang w:eastAsia="pl-PL"/>
              </w:rPr>
            </w:r>
          </w:p>
        </w:tc>
      </w:tr>
      <w:tr>
        <w:trPr>
          <w:trHeight w:val="288" w:hRule="atLeast"/>
        </w:trPr>
        <w:tc>
          <w:tcPr>
            <w:tcW w:w="400" w:type="dxa"/>
            <w:tcBorders/>
            <w:shd w:color="auto" w:fill="auto" w:val="clear"/>
            <w:vAlign w:val="center"/>
          </w:tcPr>
          <w:p>
            <w:pPr>
              <w:pStyle w:val="Normal"/>
              <w:widowControl w:val="false"/>
              <w:spacing w:lineRule="auto" w:line="240" w:before="0" w:after="0"/>
              <w:jc w:val="right"/>
              <w:rPr>
                <w:rFonts w:ascii="Arial CE" w:hAnsi="Arial CE" w:eastAsia="Times New Roman" w:cs="Times New Roman"/>
                <w:sz w:val="20"/>
                <w:szCs w:val="20"/>
                <w:lang w:eastAsia="pl-PL"/>
              </w:rPr>
            </w:pPr>
            <w:r>
              <w:rPr>
                <w:rFonts w:eastAsia="Times New Roman" w:cs="Times New Roman" w:ascii="Arial CE" w:hAnsi="Arial CE"/>
                <w:sz w:val="20"/>
                <w:szCs w:val="20"/>
                <w:lang w:eastAsia="pl-PL"/>
              </w:rPr>
              <w:t>2</w:t>
            </w:r>
          </w:p>
        </w:tc>
        <w:tc>
          <w:tcPr>
            <w:tcW w:w="1500" w:type="dxa"/>
            <w:tcBorders>
              <w:left w:val="single" w:sz="4" w:space="0" w:color="000000"/>
              <w:bottom w:val="single" w:sz="4" w:space="0" w:color="000000"/>
            </w:tcBorders>
            <w:shd w:color="000000" w:fill="D9D9D9" w:val="clear"/>
            <w:vAlign w:val="center"/>
          </w:tcPr>
          <w:p>
            <w:pPr>
              <w:pStyle w:val="Normal"/>
              <w:widowControl w:val="false"/>
              <w:spacing w:lineRule="auto" w:line="240" w:before="0" w:after="0"/>
              <w:jc w:val="center"/>
              <w:rPr>
                <w:rFonts w:ascii="Calibri" w:hAnsi="Calibri" w:eastAsia="Times New Roman" w:cs="Calibri"/>
                <w:b/>
                <w:b/>
                <w:bCs/>
                <w:color w:val="000000"/>
                <w:lang w:eastAsia="pl-PL"/>
              </w:rPr>
            </w:pPr>
            <w:r>
              <w:rPr>
                <w:rFonts w:eastAsia="Times New Roman" w:cs="Calibri"/>
                <w:b/>
                <w:bCs/>
                <w:color w:val="000000"/>
                <w:lang w:eastAsia="pl-PL"/>
              </w:rPr>
              <w:t>1992</w:t>
            </w:r>
          </w:p>
        </w:tc>
        <w:tc>
          <w:tcPr>
            <w:tcW w:w="939" w:type="dxa"/>
            <w:tcBorders>
              <w:bottom w:val="single" w:sz="4" w:space="0" w:color="000000"/>
              <w:right w:val="single" w:sz="4" w:space="0" w:color="000000"/>
            </w:tcBorders>
            <w:shd w:color="000000" w:fill="FFFF00" w:val="clear"/>
            <w:vAlign w:val="center"/>
          </w:tcPr>
          <w:p>
            <w:pPr>
              <w:pStyle w:val="Normal"/>
              <w:widowControl w:val="false"/>
              <w:spacing w:lineRule="auto" w:line="240" w:before="0" w:after="0"/>
              <w:jc w:val="center"/>
              <w:rPr>
                <w:rFonts w:ascii="Arial CE" w:hAnsi="Arial CE" w:eastAsia="Times New Roman" w:cs="Times New Roman"/>
                <w:sz w:val="20"/>
                <w:szCs w:val="20"/>
                <w:lang w:eastAsia="pl-PL"/>
              </w:rPr>
            </w:pPr>
            <w:r>
              <w:rPr>
                <w:rFonts w:eastAsia="Times New Roman" w:cs="Times New Roman" w:ascii="Arial CE" w:hAnsi="Arial CE"/>
                <w:sz w:val="20"/>
                <w:szCs w:val="20"/>
                <w:lang w:eastAsia="pl-PL"/>
              </w:rPr>
              <w:t>0,60</w:t>
            </w:r>
          </w:p>
        </w:tc>
        <w:tc>
          <w:tcPr>
            <w:tcW w:w="1001" w:type="dxa"/>
            <w:vMerge w:val="restart"/>
            <w:tcBorders>
              <w:left w:val="single" w:sz="4" w:space="0" w:color="000000"/>
              <w:bottom w:val="single" w:sz="4" w:space="0" w:color="000000"/>
              <w:right w:val="single" w:sz="4" w:space="0" w:color="000000"/>
            </w:tcBorders>
            <w:shd w:color="000000" w:fill="FFFF00" w:val="clear"/>
            <w:vAlign w:val="center"/>
          </w:tcPr>
          <w:p>
            <w:pPr>
              <w:pStyle w:val="Normal"/>
              <w:widowControl w:val="false"/>
              <w:spacing w:lineRule="auto" w:line="240" w:before="0" w:after="0"/>
              <w:jc w:val="center"/>
              <w:rPr>
                <w:rFonts w:ascii="Arial CE" w:hAnsi="Arial CE" w:eastAsia="Times New Roman" w:cs="Times New Roman"/>
                <w:sz w:val="20"/>
                <w:szCs w:val="20"/>
                <w:lang w:eastAsia="pl-PL"/>
              </w:rPr>
            </w:pPr>
            <w:r>
              <w:rPr>
                <w:rFonts w:eastAsia="Times New Roman" w:cs="Times New Roman" w:ascii="Arial CE" w:hAnsi="Arial CE"/>
                <w:sz w:val="20"/>
                <w:szCs w:val="20"/>
                <w:lang w:eastAsia="pl-PL"/>
              </w:rPr>
              <w:t>0,30</w:t>
            </w:r>
          </w:p>
        </w:tc>
        <w:tc>
          <w:tcPr>
            <w:tcW w:w="939" w:type="dxa"/>
            <w:tcBorders>
              <w:bottom w:val="single" w:sz="4" w:space="0" w:color="000000"/>
              <w:right w:val="single" w:sz="4" w:space="0" w:color="000000"/>
            </w:tcBorders>
            <w:shd w:color="000000" w:fill="FFFF00" w:val="clear"/>
            <w:vAlign w:val="center"/>
          </w:tcPr>
          <w:p>
            <w:pPr>
              <w:pStyle w:val="Normal"/>
              <w:widowControl w:val="false"/>
              <w:spacing w:lineRule="auto" w:line="240" w:before="0" w:after="0"/>
              <w:jc w:val="center"/>
              <w:rPr>
                <w:rFonts w:ascii="Arial CE" w:hAnsi="Arial CE" w:eastAsia="Times New Roman" w:cs="Times New Roman"/>
                <w:sz w:val="20"/>
                <w:szCs w:val="20"/>
                <w:lang w:eastAsia="pl-PL"/>
              </w:rPr>
            </w:pPr>
            <w:r>
              <w:rPr>
                <w:rFonts w:eastAsia="Times New Roman" w:cs="Times New Roman" w:ascii="Arial CE" w:hAnsi="Arial CE"/>
                <w:sz w:val="20"/>
                <w:szCs w:val="20"/>
                <w:lang w:eastAsia="pl-PL"/>
              </w:rPr>
              <w:t>0,70</w:t>
            </w:r>
          </w:p>
        </w:tc>
        <w:tc>
          <w:tcPr>
            <w:tcW w:w="941" w:type="dxa"/>
            <w:vMerge w:val="continue"/>
            <w:tcBorders>
              <w:left w:val="single" w:sz="4" w:space="0" w:color="000000"/>
              <w:bottom w:val="single" w:sz="4" w:space="0" w:color="000000"/>
              <w:right w:val="single" w:sz="4" w:space="0" w:color="000000"/>
            </w:tcBorders>
            <w:vAlign w:val="center"/>
          </w:tcPr>
          <w:p>
            <w:pPr>
              <w:pStyle w:val="Normal"/>
              <w:widowControl w:val="false"/>
              <w:spacing w:lineRule="auto" w:line="240" w:before="0" w:after="0"/>
              <w:rPr>
                <w:rFonts w:ascii="Arial CE" w:hAnsi="Arial CE" w:eastAsia="Times New Roman" w:cs="Times New Roman"/>
                <w:sz w:val="20"/>
                <w:szCs w:val="20"/>
                <w:lang w:eastAsia="pl-PL"/>
              </w:rPr>
            </w:pPr>
            <w:r>
              <w:rPr>
                <w:rFonts w:eastAsia="Times New Roman" w:cs="Times New Roman" w:ascii="Arial CE" w:hAnsi="Arial CE"/>
                <w:sz w:val="20"/>
                <w:szCs w:val="20"/>
                <w:lang w:eastAsia="pl-PL"/>
              </w:rPr>
            </w:r>
          </w:p>
        </w:tc>
        <w:tc>
          <w:tcPr>
            <w:tcW w:w="939" w:type="dxa"/>
            <w:vMerge w:val="continue"/>
            <w:tcBorders>
              <w:left w:val="single" w:sz="4" w:space="0" w:color="000000"/>
              <w:bottom w:val="single" w:sz="4" w:space="0" w:color="000000"/>
              <w:right w:val="single" w:sz="4" w:space="0" w:color="000000"/>
            </w:tcBorders>
            <w:vAlign w:val="center"/>
          </w:tcPr>
          <w:p>
            <w:pPr>
              <w:pStyle w:val="Normal"/>
              <w:widowControl w:val="false"/>
              <w:spacing w:lineRule="auto" w:line="240" w:before="0" w:after="0"/>
              <w:rPr>
                <w:rFonts w:ascii="Arial CE" w:hAnsi="Arial CE" w:eastAsia="Times New Roman" w:cs="Times New Roman"/>
                <w:sz w:val="20"/>
                <w:szCs w:val="20"/>
                <w:lang w:eastAsia="pl-PL"/>
              </w:rPr>
            </w:pPr>
            <w:r>
              <w:rPr>
                <w:rFonts w:eastAsia="Times New Roman" w:cs="Times New Roman" w:ascii="Arial CE" w:hAnsi="Arial CE"/>
                <w:sz w:val="20"/>
                <w:szCs w:val="20"/>
                <w:lang w:eastAsia="pl-PL"/>
              </w:rPr>
            </w:r>
          </w:p>
        </w:tc>
      </w:tr>
      <w:tr>
        <w:trPr>
          <w:trHeight w:val="288" w:hRule="atLeast"/>
        </w:trPr>
        <w:tc>
          <w:tcPr>
            <w:tcW w:w="400" w:type="dxa"/>
            <w:tcBorders/>
            <w:shd w:color="auto" w:fill="auto" w:val="clear"/>
            <w:vAlign w:val="center"/>
          </w:tcPr>
          <w:p>
            <w:pPr>
              <w:pStyle w:val="Normal"/>
              <w:widowControl w:val="false"/>
              <w:spacing w:lineRule="auto" w:line="240" w:before="0" w:after="0"/>
              <w:jc w:val="right"/>
              <w:rPr>
                <w:rFonts w:ascii="Arial CE" w:hAnsi="Arial CE" w:eastAsia="Times New Roman" w:cs="Times New Roman"/>
                <w:sz w:val="20"/>
                <w:szCs w:val="20"/>
                <w:lang w:eastAsia="pl-PL"/>
              </w:rPr>
            </w:pPr>
            <w:r>
              <w:rPr>
                <w:rFonts w:eastAsia="Times New Roman" w:cs="Times New Roman" w:ascii="Arial CE" w:hAnsi="Arial CE"/>
                <w:sz w:val="20"/>
                <w:szCs w:val="20"/>
                <w:lang w:eastAsia="pl-PL"/>
              </w:rPr>
              <w:t>3</w:t>
            </w:r>
          </w:p>
        </w:tc>
        <w:tc>
          <w:tcPr>
            <w:tcW w:w="1500" w:type="dxa"/>
            <w:tcBorders>
              <w:left w:val="single" w:sz="4" w:space="0" w:color="000000"/>
              <w:bottom w:val="single" w:sz="4" w:space="0" w:color="000000"/>
            </w:tcBorders>
            <w:shd w:color="000000" w:fill="D9D9D9" w:val="clear"/>
            <w:vAlign w:val="center"/>
          </w:tcPr>
          <w:p>
            <w:pPr>
              <w:pStyle w:val="Normal"/>
              <w:widowControl w:val="false"/>
              <w:spacing w:lineRule="auto" w:line="240" w:before="0" w:after="0"/>
              <w:jc w:val="center"/>
              <w:rPr>
                <w:rFonts w:ascii="Calibri" w:hAnsi="Calibri" w:eastAsia="Times New Roman" w:cs="Calibri"/>
                <w:b/>
                <w:b/>
                <w:bCs/>
                <w:color w:val="000000"/>
                <w:lang w:eastAsia="pl-PL"/>
              </w:rPr>
            </w:pPr>
            <w:r>
              <w:rPr>
                <w:rFonts w:eastAsia="Times New Roman" w:cs="Calibri"/>
                <w:b/>
                <w:bCs/>
                <w:color w:val="000000"/>
                <w:lang w:eastAsia="pl-PL"/>
              </w:rPr>
              <w:t>1999</w:t>
            </w:r>
          </w:p>
        </w:tc>
        <w:tc>
          <w:tcPr>
            <w:tcW w:w="939" w:type="dxa"/>
            <w:tcBorders>
              <w:bottom w:val="single" w:sz="4" w:space="0" w:color="000000"/>
              <w:right w:val="single" w:sz="4" w:space="0" w:color="000000"/>
            </w:tcBorders>
            <w:shd w:color="000000" w:fill="FFFF00" w:val="clear"/>
            <w:vAlign w:val="center"/>
          </w:tcPr>
          <w:p>
            <w:pPr>
              <w:pStyle w:val="Normal"/>
              <w:widowControl w:val="false"/>
              <w:spacing w:lineRule="auto" w:line="240" w:before="0" w:after="0"/>
              <w:jc w:val="center"/>
              <w:rPr>
                <w:rFonts w:ascii="Arial CE" w:hAnsi="Arial CE" w:eastAsia="Times New Roman" w:cs="Times New Roman"/>
                <w:sz w:val="20"/>
                <w:szCs w:val="20"/>
                <w:lang w:eastAsia="pl-PL"/>
              </w:rPr>
            </w:pPr>
            <w:r>
              <w:rPr>
                <w:rFonts w:eastAsia="Times New Roman" w:cs="Times New Roman" w:ascii="Arial CE" w:hAnsi="Arial CE"/>
                <w:sz w:val="20"/>
                <w:szCs w:val="20"/>
                <w:lang w:eastAsia="pl-PL"/>
              </w:rPr>
              <w:t>0,50</w:t>
            </w:r>
          </w:p>
        </w:tc>
        <w:tc>
          <w:tcPr>
            <w:tcW w:w="1001" w:type="dxa"/>
            <w:vMerge w:val="continue"/>
            <w:tcBorders>
              <w:left w:val="single" w:sz="4" w:space="0" w:color="000000"/>
              <w:bottom w:val="single" w:sz="4" w:space="0" w:color="000000"/>
              <w:right w:val="single" w:sz="4" w:space="0" w:color="000000"/>
            </w:tcBorders>
            <w:vAlign w:val="center"/>
          </w:tcPr>
          <w:p>
            <w:pPr>
              <w:pStyle w:val="Normal"/>
              <w:widowControl w:val="false"/>
              <w:spacing w:lineRule="auto" w:line="240" w:before="0" w:after="0"/>
              <w:rPr>
                <w:rFonts w:ascii="Arial CE" w:hAnsi="Arial CE" w:eastAsia="Times New Roman" w:cs="Times New Roman"/>
                <w:sz w:val="20"/>
                <w:szCs w:val="20"/>
                <w:lang w:eastAsia="pl-PL"/>
              </w:rPr>
            </w:pPr>
            <w:r>
              <w:rPr>
                <w:rFonts w:eastAsia="Times New Roman" w:cs="Times New Roman" w:ascii="Arial CE" w:hAnsi="Arial CE"/>
                <w:sz w:val="20"/>
                <w:szCs w:val="20"/>
                <w:lang w:eastAsia="pl-PL"/>
              </w:rPr>
            </w:r>
          </w:p>
        </w:tc>
        <w:tc>
          <w:tcPr>
            <w:tcW w:w="939" w:type="dxa"/>
            <w:tcBorders>
              <w:bottom w:val="single" w:sz="4" w:space="0" w:color="000000"/>
              <w:right w:val="single" w:sz="4" w:space="0" w:color="000000"/>
            </w:tcBorders>
            <w:shd w:color="000000" w:fill="FFFF00" w:val="clear"/>
            <w:vAlign w:val="center"/>
          </w:tcPr>
          <w:p>
            <w:pPr>
              <w:pStyle w:val="Normal"/>
              <w:widowControl w:val="false"/>
              <w:spacing w:lineRule="auto" w:line="240" w:before="0" w:after="0"/>
              <w:jc w:val="center"/>
              <w:rPr>
                <w:rFonts w:ascii="Arial CE" w:hAnsi="Arial CE" w:eastAsia="Times New Roman" w:cs="Times New Roman"/>
                <w:sz w:val="20"/>
                <w:szCs w:val="20"/>
                <w:lang w:eastAsia="pl-PL"/>
              </w:rPr>
            </w:pPr>
            <w:r>
              <w:rPr>
                <w:rFonts w:eastAsia="Times New Roman" w:cs="Times New Roman" w:ascii="Arial CE" w:hAnsi="Arial CE"/>
                <w:sz w:val="20"/>
                <w:szCs w:val="20"/>
                <w:lang w:eastAsia="pl-PL"/>
              </w:rPr>
              <w:t>0,60</w:t>
            </w:r>
          </w:p>
        </w:tc>
        <w:tc>
          <w:tcPr>
            <w:tcW w:w="941" w:type="dxa"/>
            <w:tcBorders>
              <w:bottom w:val="single" w:sz="4" w:space="0" w:color="000000"/>
              <w:right w:val="single" w:sz="4" w:space="0" w:color="000000"/>
            </w:tcBorders>
            <w:shd w:color="000000" w:fill="FFFF00" w:val="clear"/>
            <w:vAlign w:val="center"/>
          </w:tcPr>
          <w:p>
            <w:pPr>
              <w:pStyle w:val="Normal"/>
              <w:widowControl w:val="false"/>
              <w:spacing w:lineRule="auto" w:line="240" w:before="0" w:after="0"/>
              <w:jc w:val="center"/>
              <w:rPr>
                <w:rFonts w:ascii="Arial CE" w:hAnsi="Arial CE" w:eastAsia="Times New Roman" w:cs="Times New Roman"/>
                <w:sz w:val="20"/>
                <w:szCs w:val="20"/>
                <w:lang w:eastAsia="pl-PL"/>
              </w:rPr>
            </w:pPr>
            <w:r>
              <w:rPr>
                <w:rFonts w:eastAsia="Times New Roman" w:cs="Times New Roman" w:ascii="Arial CE" w:hAnsi="Arial CE"/>
                <w:sz w:val="20"/>
                <w:szCs w:val="20"/>
                <w:lang w:eastAsia="pl-PL"/>
              </w:rPr>
              <w:t>2,00</w:t>
            </w:r>
          </w:p>
        </w:tc>
        <w:tc>
          <w:tcPr>
            <w:tcW w:w="939" w:type="dxa"/>
            <w:vMerge w:val="continue"/>
            <w:tcBorders>
              <w:left w:val="single" w:sz="4" w:space="0" w:color="000000"/>
              <w:bottom w:val="single" w:sz="4" w:space="0" w:color="000000"/>
              <w:right w:val="single" w:sz="4" w:space="0" w:color="000000"/>
            </w:tcBorders>
            <w:vAlign w:val="center"/>
          </w:tcPr>
          <w:p>
            <w:pPr>
              <w:pStyle w:val="Normal"/>
              <w:widowControl w:val="false"/>
              <w:spacing w:lineRule="auto" w:line="240" w:before="0" w:after="0"/>
              <w:rPr>
                <w:rFonts w:ascii="Arial CE" w:hAnsi="Arial CE" w:eastAsia="Times New Roman" w:cs="Times New Roman"/>
                <w:sz w:val="20"/>
                <w:szCs w:val="20"/>
                <w:lang w:eastAsia="pl-PL"/>
              </w:rPr>
            </w:pPr>
            <w:r>
              <w:rPr>
                <w:rFonts w:eastAsia="Times New Roman" w:cs="Times New Roman" w:ascii="Arial CE" w:hAnsi="Arial CE"/>
                <w:sz w:val="20"/>
                <w:szCs w:val="20"/>
                <w:lang w:eastAsia="pl-PL"/>
              </w:rPr>
            </w:r>
          </w:p>
        </w:tc>
      </w:tr>
      <w:tr>
        <w:trPr>
          <w:trHeight w:val="288" w:hRule="atLeast"/>
        </w:trPr>
        <w:tc>
          <w:tcPr>
            <w:tcW w:w="400" w:type="dxa"/>
            <w:tcBorders/>
            <w:shd w:color="auto" w:fill="auto" w:val="clear"/>
            <w:vAlign w:val="center"/>
          </w:tcPr>
          <w:p>
            <w:pPr>
              <w:pStyle w:val="Normal"/>
              <w:widowControl w:val="false"/>
              <w:spacing w:lineRule="auto" w:line="240" w:before="0" w:after="0"/>
              <w:jc w:val="right"/>
              <w:rPr>
                <w:rFonts w:ascii="Arial CE" w:hAnsi="Arial CE" w:eastAsia="Times New Roman" w:cs="Times New Roman"/>
                <w:sz w:val="20"/>
                <w:szCs w:val="20"/>
                <w:lang w:eastAsia="pl-PL"/>
              </w:rPr>
            </w:pPr>
            <w:r>
              <w:rPr>
                <w:rFonts w:eastAsia="Times New Roman" w:cs="Times New Roman" w:ascii="Arial CE" w:hAnsi="Arial CE"/>
                <w:sz w:val="20"/>
                <w:szCs w:val="20"/>
                <w:lang w:eastAsia="pl-PL"/>
              </w:rPr>
              <w:t>4</w:t>
            </w:r>
          </w:p>
        </w:tc>
        <w:tc>
          <w:tcPr>
            <w:tcW w:w="1500" w:type="dxa"/>
            <w:tcBorders>
              <w:left w:val="single" w:sz="4" w:space="0" w:color="000000"/>
              <w:bottom w:val="single" w:sz="4" w:space="0" w:color="000000"/>
            </w:tcBorders>
            <w:shd w:color="000000" w:fill="8DB4E2" w:val="clear"/>
            <w:vAlign w:val="center"/>
          </w:tcPr>
          <w:p>
            <w:pPr>
              <w:pStyle w:val="Normal"/>
              <w:widowControl w:val="false"/>
              <w:spacing w:lineRule="auto" w:line="240" w:before="0" w:after="0"/>
              <w:jc w:val="center"/>
              <w:rPr>
                <w:rFonts w:ascii="Calibri" w:hAnsi="Calibri" w:eastAsia="Times New Roman" w:cs="Calibri"/>
                <w:b/>
                <w:b/>
                <w:bCs/>
                <w:color w:val="000000"/>
                <w:lang w:eastAsia="pl-PL"/>
              </w:rPr>
            </w:pPr>
            <w:r>
              <w:rPr>
                <w:rFonts w:eastAsia="Times New Roman" w:cs="Calibri"/>
                <w:b/>
                <w:bCs/>
                <w:color w:val="000000"/>
                <w:lang w:eastAsia="pl-PL"/>
              </w:rPr>
              <w:t>2003</w:t>
            </w:r>
          </w:p>
        </w:tc>
        <w:tc>
          <w:tcPr>
            <w:tcW w:w="939" w:type="dxa"/>
            <w:tcBorders>
              <w:bottom w:val="single" w:sz="4" w:space="0" w:color="000000"/>
              <w:right w:val="single" w:sz="4" w:space="0" w:color="000000"/>
            </w:tcBorders>
            <w:shd w:color="000000" w:fill="FFFF00" w:val="clear"/>
            <w:vAlign w:val="center"/>
          </w:tcPr>
          <w:p>
            <w:pPr>
              <w:pStyle w:val="Normal"/>
              <w:widowControl w:val="false"/>
              <w:spacing w:lineRule="auto" w:line="240" w:before="0" w:after="0"/>
              <w:jc w:val="center"/>
              <w:rPr>
                <w:rFonts w:ascii="Arial CE" w:hAnsi="Arial CE" w:eastAsia="Times New Roman" w:cs="Times New Roman"/>
                <w:sz w:val="20"/>
                <w:szCs w:val="20"/>
                <w:lang w:eastAsia="pl-PL"/>
              </w:rPr>
            </w:pPr>
            <w:r>
              <w:rPr>
                <w:rFonts w:eastAsia="Times New Roman" w:cs="Times New Roman" w:ascii="Arial CE" w:hAnsi="Arial CE"/>
                <w:sz w:val="20"/>
                <w:szCs w:val="20"/>
                <w:lang w:eastAsia="pl-PL"/>
              </w:rPr>
              <w:t>0,30</w:t>
            </w:r>
          </w:p>
        </w:tc>
        <w:tc>
          <w:tcPr>
            <w:tcW w:w="1001" w:type="dxa"/>
            <w:tcBorders>
              <w:bottom w:val="single" w:sz="4" w:space="0" w:color="000000"/>
              <w:right w:val="single" w:sz="4" w:space="0" w:color="000000"/>
            </w:tcBorders>
            <w:shd w:color="000000" w:fill="FFFF00" w:val="clear"/>
            <w:vAlign w:val="center"/>
          </w:tcPr>
          <w:p>
            <w:pPr>
              <w:pStyle w:val="Normal"/>
              <w:widowControl w:val="false"/>
              <w:spacing w:lineRule="auto" w:line="240" w:before="0" w:after="0"/>
              <w:jc w:val="center"/>
              <w:rPr>
                <w:rFonts w:ascii="Arial CE" w:hAnsi="Arial CE" w:eastAsia="Times New Roman" w:cs="Times New Roman"/>
                <w:sz w:val="20"/>
                <w:szCs w:val="20"/>
                <w:lang w:eastAsia="pl-PL"/>
              </w:rPr>
            </w:pPr>
            <w:r>
              <w:rPr>
                <w:rFonts w:eastAsia="Times New Roman" w:cs="Times New Roman" w:ascii="Arial CE" w:hAnsi="Arial CE"/>
                <w:sz w:val="20"/>
                <w:szCs w:val="20"/>
                <w:lang w:eastAsia="pl-PL"/>
              </w:rPr>
              <w:t>0,25</w:t>
            </w:r>
          </w:p>
        </w:tc>
        <w:tc>
          <w:tcPr>
            <w:tcW w:w="939" w:type="dxa"/>
            <w:tcBorders>
              <w:bottom w:val="single" w:sz="4" w:space="0" w:color="000000"/>
              <w:right w:val="single" w:sz="4" w:space="0" w:color="000000"/>
            </w:tcBorders>
            <w:shd w:color="000000" w:fill="FFFF00" w:val="clear"/>
            <w:vAlign w:val="center"/>
          </w:tcPr>
          <w:p>
            <w:pPr>
              <w:pStyle w:val="Normal"/>
              <w:widowControl w:val="false"/>
              <w:spacing w:lineRule="auto" w:line="240" w:before="0" w:after="0"/>
              <w:jc w:val="center"/>
              <w:rPr>
                <w:rFonts w:ascii="Arial CE" w:hAnsi="Arial CE" w:eastAsia="Times New Roman" w:cs="Times New Roman"/>
                <w:sz w:val="20"/>
                <w:szCs w:val="20"/>
                <w:lang w:eastAsia="pl-PL"/>
              </w:rPr>
            </w:pPr>
            <w:r>
              <w:rPr>
                <w:rFonts w:eastAsia="Times New Roman" w:cs="Times New Roman" w:ascii="Arial CE" w:hAnsi="Arial CE"/>
                <w:sz w:val="20"/>
                <w:szCs w:val="20"/>
                <w:lang w:eastAsia="pl-PL"/>
              </w:rPr>
              <w:t>0,45</w:t>
            </w:r>
          </w:p>
        </w:tc>
        <w:tc>
          <w:tcPr>
            <w:tcW w:w="941" w:type="dxa"/>
            <w:tcBorders>
              <w:bottom w:val="single" w:sz="4" w:space="0" w:color="000000"/>
              <w:right w:val="single" w:sz="4" w:space="0" w:color="000000"/>
            </w:tcBorders>
            <w:shd w:color="000000" w:fill="FFFF00" w:val="clear"/>
            <w:vAlign w:val="center"/>
          </w:tcPr>
          <w:p>
            <w:pPr>
              <w:pStyle w:val="Normal"/>
              <w:widowControl w:val="false"/>
              <w:spacing w:lineRule="auto" w:line="240" w:before="0" w:after="0"/>
              <w:jc w:val="center"/>
              <w:rPr>
                <w:rFonts w:ascii="Arial CE" w:hAnsi="Arial CE" w:eastAsia="Times New Roman" w:cs="Times New Roman"/>
                <w:sz w:val="20"/>
                <w:szCs w:val="20"/>
                <w:lang w:eastAsia="pl-PL"/>
              </w:rPr>
            </w:pPr>
            <w:r>
              <w:rPr>
                <w:rFonts w:eastAsia="Times New Roman" w:cs="Times New Roman" w:ascii="Arial CE" w:hAnsi="Arial CE"/>
                <w:sz w:val="20"/>
                <w:szCs w:val="20"/>
                <w:lang w:eastAsia="pl-PL"/>
              </w:rPr>
              <w:t>1,80</w:t>
            </w:r>
          </w:p>
        </w:tc>
        <w:tc>
          <w:tcPr>
            <w:tcW w:w="939" w:type="dxa"/>
            <w:tcBorders>
              <w:bottom w:val="single" w:sz="4" w:space="0" w:color="000000"/>
              <w:right w:val="single" w:sz="4" w:space="0" w:color="000000"/>
            </w:tcBorders>
            <w:shd w:color="000000" w:fill="FFFF00" w:val="clear"/>
            <w:vAlign w:val="center"/>
          </w:tcPr>
          <w:p>
            <w:pPr>
              <w:pStyle w:val="Normal"/>
              <w:widowControl w:val="false"/>
              <w:spacing w:lineRule="auto" w:line="240" w:before="0" w:after="0"/>
              <w:jc w:val="center"/>
              <w:rPr>
                <w:rFonts w:ascii="Arial CE" w:hAnsi="Arial CE" w:eastAsia="Times New Roman" w:cs="Times New Roman"/>
                <w:sz w:val="20"/>
                <w:szCs w:val="20"/>
                <w:lang w:eastAsia="pl-PL"/>
              </w:rPr>
            </w:pPr>
            <w:r>
              <w:rPr>
                <w:rFonts w:eastAsia="Times New Roman" w:cs="Times New Roman" w:ascii="Arial CE" w:hAnsi="Arial CE"/>
                <w:sz w:val="20"/>
                <w:szCs w:val="20"/>
                <w:lang w:eastAsia="pl-PL"/>
              </w:rPr>
              <w:t>2,00</w:t>
            </w:r>
          </w:p>
        </w:tc>
      </w:tr>
      <w:tr>
        <w:trPr>
          <w:trHeight w:val="288" w:hRule="atLeast"/>
        </w:trPr>
        <w:tc>
          <w:tcPr>
            <w:tcW w:w="400" w:type="dxa"/>
            <w:tcBorders/>
            <w:shd w:color="auto" w:fill="auto" w:val="clear"/>
            <w:vAlign w:val="center"/>
          </w:tcPr>
          <w:p>
            <w:pPr>
              <w:pStyle w:val="Normal"/>
              <w:widowControl w:val="false"/>
              <w:spacing w:lineRule="auto" w:line="240" w:before="0" w:after="0"/>
              <w:jc w:val="right"/>
              <w:rPr>
                <w:rFonts w:ascii="Arial CE" w:hAnsi="Arial CE" w:eastAsia="Times New Roman" w:cs="Times New Roman"/>
                <w:sz w:val="20"/>
                <w:szCs w:val="20"/>
                <w:lang w:eastAsia="pl-PL"/>
              </w:rPr>
            </w:pPr>
            <w:r>
              <w:rPr>
                <w:rFonts w:eastAsia="Times New Roman" w:cs="Times New Roman" w:ascii="Arial CE" w:hAnsi="Arial CE"/>
                <w:sz w:val="20"/>
                <w:szCs w:val="20"/>
                <w:lang w:eastAsia="pl-PL"/>
              </w:rPr>
              <w:t>5</w:t>
            </w:r>
          </w:p>
        </w:tc>
        <w:tc>
          <w:tcPr>
            <w:tcW w:w="1500" w:type="dxa"/>
            <w:tcBorders>
              <w:left w:val="single" w:sz="4" w:space="0" w:color="000000"/>
              <w:bottom w:val="single" w:sz="4" w:space="0" w:color="000000"/>
            </w:tcBorders>
            <w:shd w:color="000000" w:fill="8DB4E2" w:val="clear"/>
            <w:vAlign w:val="center"/>
          </w:tcPr>
          <w:p>
            <w:pPr>
              <w:pStyle w:val="Normal"/>
              <w:widowControl w:val="false"/>
              <w:spacing w:lineRule="auto" w:line="240" w:before="0" w:after="0"/>
              <w:jc w:val="center"/>
              <w:rPr>
                <w:rFonts w:ascii="Calibri" w:hAnsi="Calibri" w:eastAsia="Times New Roman" w:cs="Calibri"/>
                <w:b/>
                <w:b/>
                <w:bCs/>
                <w:color w:val="000000"/>
                <w:lang w:eastAsia="pl-PL"/>
              </w:rPr>
            </w:pPr>
            <w:r>
              <w:rPr>
                <w:rFonts w:eastAsia="Times New Roman" w:cs="Calibri"/>
                <w:b/>
                <w:bCs/>
                <w:color w:val="000000"/>
                <w:lang w:eastAsia="pl-PL"/>
              </w:rPr>
              <w:t>2014</w:t>
            </w:r>
          </w:p>
        </w:tc>
        <w:tc>
          <w:tcPr>
            <w:tcW w:w="939" w:type="dxa"/>
            <w:tcBorders>
              <w:bottom w:val="single" w:sz="4" w:space="0" w:color="000000"/>
              <w:right w:val="single" w:sz="4" w:space="0" w:color="000000"/>
            </w:tcBorders>
            <w:shd w:color="000000" w:fill="FFFF00" w:val="clear"/>
            <w:vAlign w:val="center"/>
          </w:tcPr>
          <w:p>
            <w:pPr>
              <w:pStyle w:val="Normal"/>
              <w:widowControl w:val="false"/>
              <w:spacing w:lineRule="auto" w:line="240" w:before="0" w:after="0"/>
              <w:jc w:val="center"/>
              <w:rPr>
                <w:rFonts w:ascii="Arial CE" w:hAnsi="Arial CE" w:eastAsia="Times New Roman" w:cs="Times New Roman"/>
                <w:sz w:val="20"/>
                <w:szCs w:val="20"/>
                <w:lang w:eastAsia="pl-PL"/>
              </w:rPr>
            </w:pPr>
            <w:r>
              <w:rPr>
                <w:rFonts w:eastAsia="Times New Roman" w:cs="Times New Roman" w:ascii="Arial CE" w:hAnsi="Arial CE"/>
                <w:sz w:val="20"/>
                <w:szCs w:val="20"/>
                <w:lang w:eastAsia="pl-PL"/>
              </w:rPr>
              <w:t>0,25</w:t>
            </w:r>
          </w:p>
        </w:tc>
        <w:tc>
          <w:tcPr>
            <w:tcW w:w="1001" w:type="dxa"/>
            <w:tcBorders>
              <w:bottom w:val="single" w:sz="4" w:space="0" w:color="000000"/>
              <w:right w:val="single" w:sz="4" w:space="0" w:color="000000"/>
            </w:tcBorders>
            <w:shd w:color="000000" w:fill="FFFF00" w:val="clear"/>
            <w:vAlign w:val="center"/>
          </w:tcPr>
          <w:p>
            <w:pPr>
              <w:pStyle w:val="Normal"/>
              <w:widowControl w:val="false"/>
              <w:spacing w:lineRule="auto" w:line="240" w:before="0" w:after="0"/>
              <w:jc w:val="center"/>
              <w:rPr>
                <w:rFonts w:ascii="Arial CE" w:hAnsi="Arial CE" w:eastAsia="Times New Roman" w:cs="Times New Roman"/>
                <w:sz w:val="20"/>
                <w:szCs w:val="20"/>
                <w:lang w:eastAsia="pl-PL"/>
              </w:rPr>
            </w:pPr>
            <w:r>
              <w:rPr>
                <w:rFonts w:eastAsia="Times New Roman" w:cs="Times New Roman" w:ascii="Arial CE" w:hAnsi="Arial CE"/>
                <w:sz w:val="20"/>
                <w:szCs w:val="20"/>
                <w:lang w:eastAsia="pl-PL"/>
              </w:rPr>
              <w:t>0,20</w:t>
            </w:r>
          </w:p>
        </w:tc>
        <w:tc>
          <w:tcPr>
            <w:tcW w:w="939" w:type="dxa"/>
            <w:vMerge w:val="restart"/>
            <w:tcBorders>
              <w:left w:val="single" w:sz="4" w:space="0" w:color="000000"/>
              <w:bottom w:val="single" w:sz="4" w:space="0" w:color="000000"/>
              <w:right w:val="single" w:sz="4" w:space="0" w:color="000000"/>
            </w:tcBorders>
            <w:shd w:color="000000" w:fill="FFFF00" w:val="clear"/>
            <w:vAlign w:val="center"/>
          </w:tcPr>
          <w:p>
            <w:pPr>
              <w:pStyle w:val="Normal"/>
              <w:widowControl w:val="false"/>
              <w:spacing w:lineRule="auto" w:line="240" w:before="0" w:after="0"/>
              <w:jc w:val="center"/>
              <w:rPr>
                <w:rFonts w:ascii="Arial CE" w:hAnsi="Arial CE" w:eastAsia="Times New Roman" w:cs="Times New Roman"/>
                <w:sz w:val="20"/>
                <w:szCs w:val="20"/>
                <w:lang w:eastAsia="pl-PL"/>
              </w:rPr>
            </w:pPr>
            <w:r>
              <w:rPr>
                <w:rFonts w:eastAsia="Times New Roman" w:cs="Times New Roman" w:ascii="Arial CE" w:hAnsi="Arial CE"/>
                <w:sz w:val="20"/>
                <w:szCs w:val="20"/>
                <w:lang w:eastAsia="pl-PL"/>
              </w:rPr>
              <w:t>0,30</w:t>
            </w:r>
          </w:p>
        </w:tc>
        <w:tc>
          <w:tcPr>
            <w:tcW w:w="941" w:type="dxa"/>
            <w:tcBorders>
              <w:bottom w:val="single" w:sz="4" w:space="0" w:color="000000"/>
              <w:right w:val="single" w:sz="4" w:space="0" w:color="000000"/>
            </w:tcBorders>
            <w:shd w:color="000000" w:fill="FFFF00" w:val="clear"/>
            <w:vAlign w:val="center"/>
          </w:tcPr>
          <w:p>
            <w:pPr>
              <w:pStyle w:val="Normal"/>
              <w:widowControl w:val="false"/>
              <w:spacing w:lineRule="auto" w:line="240" w:before="0" w:after="0"/>
              <w:jc w:val="center"/>
              <w:rPr>
                <w:rFonts w:ascii="Arial CE" w:hAnsi="Arial CE" w:eastAsia="Times New Roman" w:cs="Times New Roman"/>
                <w:sz w:val="20"/>
                <w:szCs w:val="20"/>
                <w:lang w:eastAsia="pl-PL"/>
              </w:rPr>
            </w:pPr>
            <w:r>
              <w:rPr>
                <w:rFonts w:eastAsia="Times New Roman" w:cs="Times New Roman" w:ascii="Arial CE" w:hAnsi="Arial CE"/>
                <w:sz w:val="20"/>
                <w:szCs w:val="20"/>
                <w:lang w:eastAsia="pl-PL"/>
              </w:rPr>
              <w:t>1,30</w:t>
            </w:r>
          </w:p>
        </w:tc>
        <w:tc>
          <w:tcPr>
            <w:tcW w:w="939" w:type="dxa"/>
            <w:tcBorders>
              <w:bottom w:val="single" w:sz="4" w:space="0" w:color="000000"/>
              <w:right w:val="single" w:sz="4" w:space="0" w:color="000000"/>
            </w:tcBorders>
            <w:shd w:color="000000" w:fill="FFFF00" w:val="clear"/>
            <w:vAlign w:val="center"/>
          </w:tcPr>
          <w:p>
            <w:pPr>
              <w:pStyle w:val="Normal"/>
              <w:widowControl w:val="false"/>
              <w:spacing w:lineRule="auto" w:line="240" w:before="0" w:after="0"/>
              <w:jc w:val="center"/>
              <w:rPr>
                <w:rFonts w:ascii="Arial CE" w:hAnsi="Arial CE" w:eastAsia="Times New Roman" w:cs="Times New Roman"/>
                <w:sz w:val="20"/>
                <w:szCs w:val="20"/>
                <w:lang w:eastAsia="pl-PL"/>
              </w:rPr>
            </w:pPr>
            <w:r>
              <w:rPr>
                <w:rFonts w:eastAsia="Times New Roman" w:cs="Times New Roman" w:ascii="Arial CE" w:hAnsi="Arial CE"/>
                <w:sz w:val="20"/>
                <w:szCs w:val="20"/>
                <w:lang w:eastAsia="pl-PL"/>
              </w:rPr>
              <w:t>1,70</w:t>
            </w:r>
          </w:p>
        </w:tc>
      </w:tr>
      <w:tr>
        <w:trPr>
          <w:trHeight w:val="288" w:hRule="atLeast"/>
        </w:trPr>
        <w:tc>
          <w:tcPr>
            <w:tcW w:w="400" w:type="dxa"/>
            <w:tcBorders/>
            <w:shd w:color="auto" w:fill="auto" w:val="clear"/>
            <w:vAlign w:val="center"/>
          </w:tcPr>
          <w:p>
            <w:pPr>
              <w:pStyle w:val="Normal"/>
              <w:widowControl w:val="false"/>
              <w:spacing w:lineRule="auto" w:line="240" w:before="0" w:after="0"/>
              <w:jc w:val="right"/>
              <w:rPr>
                <w:rFonts w:ascii="Arial CE" w:hAnsi="Arial CE" w:eastAsia="Times New Roman" w:cs="Times New Roman"/>
                <w:sz w:val="20"/>
                <w:szCs w:val="20"/>
                <w:lang w:eastAsia="pl-PL"/>
              </w:rPr>
            </w:pPr>
            <w:r>
              <w:rPr>
                <w:rFonts w:eastAsia="Times New Roman" w:cs="Times New Roman" w:ascii="Arial CE" w:hAnsi="Arial CE"/>
                <w:sz w:val="20"/>
                <w:szCs w:val="20"/>
                <w:lang w:eastAsia="pl-PL"/>
              </w:rPr>
              <w:t>6</w:t>
            </w:r>
          </w:p>
        </w:tc>
        <w:tc>
          <w:tcPr>
            <w:tcW w:w="1500" w:type="dxa"/>
            <w:tcBorders>
              <w:left w:val="single" w:sz="4" w:space="0" w:color="000000"/>
              <w:bottom w:val="single" w:sz="4" w:space="0" w:color="000000"/>
            </w:tcBorders>
            <w:shd w:color="000000" w:fill="8DB4E2" w:val="clear"/>
            <w:vAlign w:val="center"/>
          </w:tcPr>
          <w:p>
            <w:pPr>
              <w:pStyle w:val="Normal"/>
              <w:widowControl w:val="false"/>
              <w:spacing w:lineRule="auto" w:line="240" w:before="0" w:after="0"/>
              <w:jc w:val="center"/>
              <w:rPr>
                <w:rFonts w:ascii="Calibri" w:hAnsi="Calibri" w:eastAsia="Times New Roman" w:cs="Calibri"/>
                <w:b/>
                <w:b/>
                <w:bCs/>
                <w:color w:val="000000"/>
                <w:lang w:eastAsia="pl-PL"/>
              </w:rPr>
            </w:pPr>
            <w:r>
              <w:rPr>
                <w:rFonts w:eastAsia="Times New Roman" w:cs="Calibri"/>
                <w:b/>
                <w:bCs/>
                <w:color w:val="000000"/>
                <w:lang w:eastAsia="pl-PL"/>
              </w:rPr>
              <w:t>2017</w:t>
            </w:r>
          </w:p>
        </w:tc>
        <w:tc>
          <w:tcPr>
            <w:tcW w:w="939" w:type="dxa"/>
            <w:tcBorders>
              <w:bottom w:val="single" w:sz="4" w:space="0" w:color="000000"/>
              <w:right w:val="single" w:sz="4" w:space="0" w:color="000000"/>
            </w:tcBorders>
            <w:shd w:color="000000" w:fill="FFFF00" w:val="clear"/>
            <w:vAlign w:val="center"/>
          </w:tcPr>
          <w:p>
            <w:pPr>
              <w:pStyle w:val="Normal"/>
              <w:widowControl w:val="false"/>
              <w:spacing w:lineRule="auto" w:line="240" w:before="0" w:after="0"/>
              <w:jc w:val="center"/>
              <w:rPr>
                <w:rFonts w:ascii="Arial CE" w:hAnsi="Arial CE" w:eastAsia="Times New Roman" w:cs="Times New Roman"/>
                <w:sz w:val="20"/>
                <w:szCs w:val="20"/>
                <w:lang w:eastAsia="pl-PL"/>
              </w:rPr>
            </w:pPr>
            <w:r>
              <w:rPr>
                <w:rFonts w:eastAsia="Times New Roman" w:cs="Times New Roman" w:ascii="Arial CE" w:hAnsi="Arial CE"/>
                <w:sz w:val="20"/>
                <w:szCs w:val="20"/>
                <w:lang w:eastAsia="pl-PL"/>
              </w:rPr>
              <w:t>0,23</w:t>
            </w:r>
          </w:p>
        </w:tc>
        <w:tc>
          <w:tcPr>
            <w:tcW w:w="1001" w:type="dxa"/>
            <w:tcBorders>
              <w:bottom w:val="single" w:sz="4" w:space="0" w:color="000000"/>
              <w:right w:val="single" w:sz="4" w:space="0" w:color="000000"/>
            </w:tcBorders>
            <w:shd w:color="000000" w:fill="FFFF00" w:val="clear"/>
            <w:vAlign w:val="center"/>
          </w:tcPr>
          <w:p>
            <w:pPr>
              <w:pStyle w:val="Normal"/>
              <w:widowControl w:val="false"/>
              <w:spacing w:lineRule="auto" w:line="240" w:before="0" w:after="0"/>
              <w:jc w:val="center"/>
              <w:rPr>
                <w:rFonts w:ascii="Arial CE" w:hAnsi="Arial CE" w:eastAsia="Times New Roman" w:cs="Times New Roman"/>
                <w:sz w:val="20"/>
                <w:szCs w:val="20"/>
                <w:lang w:eastAsia="pl-PL"/>
              </w:rPr>
            </w:pPr>
            <w:r>
              <w:rPr>
                <w:rFonts w:eastAsia="Times New Roman" w:cs="Times New Roman" w:ascii="Arial CE" w:hAnsi="Arial CE"/>
                <w:sz w:val="20"/>
                <w:szCs w:val="20"/>
                <w:lang w:eastAsia="pl-PL"/>
              </w:rPr>
              <w:t>0,18</w:t>
            </w:r>
          </w:p>
        </w:tc>
        <w:tc>
          <w:tcPr>
            <w:tcW w:w="939" w:type="dxa"/>
            <w:vMerge w:val="continue"/>
            <w:tcBorders>
              <w:left w:val="single" w:sz="4" w:space="0" w:color="000000"/>
              <w:bottom w:val="single" w:sz="4" w:space="0" w:color="000000"/>
              <w:right w:val="single" w:sz="4" w:space="0" w:color="000000"/>
            </w:tcBorders>
            <w:vAlign w:val="center"/>
          </w:tcPr>
          <w:p>
            <w:pPr>
              <w:pStyle w:val="Normal"/>
              <w:widowControl w:val="false"/>
              <w:spacing w:lineRule="auto" w:line="240" w:before="0" w:after="0"/>
              <w:rPr>
                <w:rFonts w:ascii="Arial CE" w:hAnsi="Arial CE" w:eastAsia="Times New Roman" w:cs="Times New Roman"/>
                <w:sz w:val="20"/>
                <w:szCs w:val="20"/>
                <w:lang w:eastAsia="pl-PL"/>
              </w:rPr>
            </w:pPr>
            <w:r>
              <w:rPr>
                <w:rFonts w:eastAsia="Times New Roman" w:cs="Times New Roman" w:ascii="Arial CE" w:hAnsi="Arial CE"/>
                <w:sz w:val="20"/>
                <w:szCs w:val="20"/>
                <w:lang w:eastAsia="pl-PL"/>
              </w:rPr>
            </w:r>
          </w:p>
        </w:tc>
        <w:tc>
          <w:tcPr>
            <w:tcW w:w="941" w:type="dxa"/>
            <w:tcBorders>
              <w:bottom w:val="single" w:sz="4" w:space="0" w:color="000000"/>
              <w:right w:val="single" w:sz="4" w:space="0" w:color="000000"/>
            </w:tcBorders>
            <w:shd w:color="000000" w:fill="FFFF00" w:val="clear"/>
            <w:vAlign w:val="center"/>
          </w:tcPr>
          <w:p>
            <w:pPr>
              <w:pStyle w:val="Normal"/>
              <w:widowControl w:val="false"/>
              <w:spacing w:lineRule="auto" w:line="240" w:before="0" w:after="0"/>
              <w:jc w:val="center"/>
              <w:rPr>
                <w:rFonts w:ascii="Arial CE" w:hAnsi="Arial CE" w:eastAsia="Times New Roman" w:cs="Times New Roman"/>
                <w:sz w:val="20"/>
                <w:szCs w:val="20"/>
                <w:lang w:eastAsia="pl-PL"/>
              </w:rPr>
            </w:pPr>
            <w:r>
              <w:rPr>
                <w:rFonts w:eastAsia="Times New Roman" w:cs="Times New Roman" w:ascii="Arial CE" w:hAnsi="Arial CE"/>
                <w:sz w:val="20"/>
                <w:szCs w:val="20"/>
                <w:lang w:eastAsia="pl-PL"/>
              </w:rPr>
              <w:t>1,10</w:t>
            </w:r>
          </w:p>
        </w:tc>
        <w:tc>
          <w:tcPr>
            <w:tcW w:w="939" w:type="dxa"/>
            <w:tcBorders>
              <w:bottom w:val="single" w:sz="4" w:space="0" w:color="000000"/>
              <w:right w:val="single" w:sz="4" w:space="0" w:color="000000"/>
            </w:tcBorders>
            <w:shd w:color="000000" w:fill="FFFF00" w:val="clear"/>
            <w:vAlign w:val="center"/>
          </w:tcPr>
          <w:p>
            <w:pPr>
              <w:pStyle w:val="Normal"/>
              <w:widowControl w:val="false"/>
              <w:spacing w:lineRule="auto" w:line="240" w:before="0" w:after="0"/>
              <w:jc w:val="center"/>
              <w:rPr>
                <w:rFonts w:ascii="Arial CE" w:hAnsi="Arial CE" w:eastAsia="Times New Roman" w:cs="Times New Roman"/>
                <w:sz w:val="20"/>
                <w:szCs w:val="20"/>
                <w:lang w:eastAsia="pl-PL"/>
              </w:rPr>
            </w:pPr>
            <w:r>
              <w:rPr>
                <w:rFonts w:eastAsia="Times New Roman" w:cs="Times New Roman" w:ascii="Arial CE" w:hAnsi="Arial CE"/>
                <w:sz w:val="20"/>
                <w:szCs w:val="20"/>
                <w:lang w:eastAsia="pl-PL"/>
              </w:rPr>
              <w:t>1,50</w:t>
            </w:r>
          </w:p>
        </w:tc>
      </w:tr>
      <w:tr>
        <w:trPr>
          <w:trHeight w:val="300" w:hRule="atLeast"/>
        </w:trPr>
        <w:tc>
          <w:tcPr>
            <w:tcW w:w="400" w:type="dxa"/>
            <w:tcBorders/>
            <w:shd w:color="auto" w:fill="auto" w:val="clear"/>
            <w:vAlign w:val="center"/>
          </w:tcPr>
          <w:p>
            <w:pPr>
              <w:pStyle w:val="Normal"/>
              <w:widowControl w:val="false"/>
              <w:spacing w:lineRule="auto" w:line="240" w:before="0" w:after="0"/>
              <w:jc w:val="right"/>
              <w:rPr>
                <w:rFonts w:ascii="Arial CE" w:hAnsi="Arial CE" w:eastAsia="Times New Roman" w:cs="Times New Roman"/>
                <w:sz w:val="20"/>
                <w:szCs w:val="20"/>
                <w:lang w:eastAsia="pl-PL"/>
              </w:rPr>
            </w:pPr>
            <w:r>
              <w:rPr>
                <w:rFonts w:eastAsia="Times New Roman" w:cs="Times New Roman" w:ascii="Arial CE" w:hAnsi="Arial CE"/>
                <w:sz w:val="20"/>
                <w:szCs w:val="20"/>
                <w:lang w:eastAsia="pl-PL"/>
              </w:rPr>
              <w:t>7</w:t>
            </w:r>
          </w:p>
        </w:tc>
        <w:tc>
          <w:tcPr>
            <w:tcW w:w="1500" w:type="dxa"/>
            <w:tcBorders>
              <w:left w:val="single" w:sz="4" w:space="0" w:color="000000"/>
              <w:bottom w:val="single" w:sz="4" w:space="0" w:color="000000"/>
            </w:tcBorders>
            <w:shd w:color="000000" w:fill="FFC000" w:val="clear"/>
            <w:vAlign w:val="center"/>
          </w:tcPr>
          <w:p>
            <w:pPr>
              <w:pStyle w:val="Normal"/>
              <w:widowControl w:val="false"/>
              <w:spacing w:lineRule="auto" w:line="240" w:before="0" w:after="0"/>
              <w:jc w:val="center"/>
              <w:rPr>
                <w:rFonts w:ascii="Calibri" w:hAnsi="Calibri" w:eastAsia="Times New Roman" w:cs="Calibri"/>
                <w:b/>
                <w:b/>
                <w:bCs/>
                <w:color w:val="000000"/>
                <w:lang w:eastAsia="pl-PL"/>
              </w:rPr>
            </w:pPr>
            <w:r>
              <w:rPr>
                <w:rFonts w:eastAsia="Times New Roman" w:cs="Calibri"/>
                <w:b/>
                <w:bCs/>
                <w:color w:val="000000"/>
                <w:lang w:eastAsia="pl-PL"/>
              </w:rPr>
              <w:t>2021</w:t>
            </w:r>
          </w:p>
        </w:tc>
        <w:tc>
          <w:tcPr>
            <w:tcW w:w="939" w:type="dxa"/>
            <w:tcBorders>
              <w:bottom w:val="single" w:sz="8" w:space="0" w:color="000000"/>
              <w:right w:val="single" w:sz="4" w:space="0" w:color="000000"/>
            </w:tcBorders>
            <w:shd w:color="000000" w:fill="FFC000" w:val="clear"/>
            <w:vAlign w:val="center"/>
          </w:tcPr>
          <w:p>
            <w:pPr>
              <w:pStyle w:val="Normal"/>
              <w:widowControl w:val="false"/>
              <w:spacing w:lineRule="auto" w:line="240" w:before="0" w:after="0"/>
              <w:jc w:val="center"/>
              <w:rPr>
                <w:rFonts w:ascii="Arial CE" w:hAnsi="Arial CE" w:eastAsia="Times New Roman" w:cs="Times New Roman"/>
                <w:sz w:val="20"/>
                <w:szCs w:val="20"/>
                <w:lang w:eastAsia="pl-PL"/>
              </w:rPr>
            </w:pPr>
            <w:r>
              <w:rPr>
                <w:rFonts w:eastAsia="Times New Roman" w:cs="Times New Roman" w:ascii="Arial CE" w:hAnsi="Arial CE"/>
                <w:sz w:val="20"/>
                <w:szCs w:val="20"/>
                <w:lang w:eastAsia="pl-PL"/>
              </w:rPr>
              <w:t>0,20</w:t>
            </w:r>
          </w:p>
        </w:tc>
        <w:tc>
          <w:tcPr>
            <w:tcW w:w="1001" w:type="dxa"/>
            <w:tcBorders>
              <w:bottom w:val="single" w:sz="8" w:space="0" w:color="000000"/>
              <w:right w:val="single" w:sz="4" w:space="0" w:color="000000"/>
            </w:tcBorders>
            <w:shd w:color="000000" w:fill="FFC000" w:val="clear"/>
            <w:vAlign w:val="center"/>
          </w:tcPr>
          <w:p>
            <w:pPr>
              <w:pStyle w:val="Normal"/>
              <w:widowControl w:val="false"/>
              <w:spacing w:lineRule="auto" w:line="240" w:before="0" w:after="0"/>
              <w:jc w:val="center"/>
              <w:rPr>
                <w:rFonts w:ascii="Arial CE" w:hAnsi="Arial CE" w:eastAsia="Times New Roman" w:cs="Times New Roman"/>
                <w:sz w:val="20"/>
                <w:szCs w:val="20"/>
                <w:lang w:eastAsia="pl-PL"/>
              </w:rPr>
            </w:pPr>
            <w:r>
              <w:rPr>
                <w:rFonts w:eastAsia="Times New Roman" w:cs="Times New Roman" w:ascii="Arial CE" w:hAnsi="Arial CE"/>
                <w:sz w:val="20"/>
                <w:szCs w:val="20"/>
                <w:lang w:eastAsia="pl-PL"/>
              </w:rPr>
              <w:t>0,15</w:t>
            </w:r>
          </w:p>
        </w:tc>
        <w:tc>
          <w:tcPr>
            <w:tcW w:w="939" w:type="dxa"/>
            <w:tcBorders>
              <w:bottom w:val="single" w:sz="8" w:space="0" w:color="000000"/>
              <w:right w:val="single" w:sz="4" w:space="0" w:color="000000"/>
            </w:tcBorders>
            <w:shd w:color="000000" w:fill="FFC000" w:val="clear"/>
            <w:vAlign w:val="center"/>
          </w:tcPr>
          <w:p>
            <w:pPr>
              <w:pStyle w:val="Normal"/>
              <w:widowControl w:val="false"/>
              <w:spacing w:lineRule="auto" w:line="240" w:before="0" w:after="0"/>
              <w:jc w:val="center"/>
              <w:rPr>
                <w:rFonts w:ascii="Arial CE" w:hAnsi="Arial CE" w:eastAsia="Times New Roman" w:cs="Times New Roman"/>
                <w:sz w:val="20"/>
                <w:szCs w:val="20"/>
                <w:lang w:eastAsia="pl-PL"/>
              </w:rPr>
            </w:pPr>
            <w:r>
              <w:rPr>
                <w:rFonts w:eastAsia="Times New Roman" w:cs="Times New Roman" w:ascii="Arial CE" w:hAnsi="Arial CE"/>
                <w:sz w:val="20"/>
                <w:szCs w:val="20"/>
                <w:lang w:eastAsia="pl-PL"/>
              </w:rPr>
              <w:t>0,30</w:t>
            </w:r>
          </w:p>
        </w:tc>
        <w:tc>
          <w:tcPr>
            <w:tcW w:w="941" w:type="dxa"/>
            <w:tcBorders>
              <w:bottom w:val="single" w:sz="8" w:space="0" w:color="000000"/>
              <w:right w:val="single" w:sz="4" w:space="0" w:color="000000"/>
            </w:tcBorders>
            <w:shd w:color="000000" w:fill="FFC000" w:val="clear"/>
            <w:vAlign w:val="center"/>
          </w:tcPr>
          <w:p>
            <w:pPr>
              <w:pStyle w:val="Normal"/>
              <w:widowControl w:val="false"/>
              <w:spacing w:lineRule="auto" w:line="240" w:before="0" w:after="0"/>
              <w:jc w:val="center"/>
              <w:rPr>
                <w:rFonts w:ascii="Arial CE" w:hAnsi="Arial CE" w:eastAsia="Times New Roman" w:cs="Times New Roman"/>
                <w:sz w:val="20"/>
                <w:szCs w:val="20"/>
                <w:lang w:eastAsia="pl-PL"/>
              </w:rPr>
            </w:pPr>
            <w:r>
              <w:rPr>
                <w:rFonts w:eastAsia="Times New Roman" w:cs="Times New Roman" w:ascii="Arial CE" w:hAnsi="Arial CE"/>
                <w:sz w:val="20"/>
                <w:szCs w:val="20"/>
                <w:lang w:eastAsia="pl-PL"/>
              </w:rPr>
              <w:t>0,90</w:t>
            </w:r>
          </w:p>
        </w:tc>
        <w:tc>
          <w:tcPr>
            <w:tcW w:w="939" w:type="dxa"/>
            <w:tcBorders>
              <w:bottom w:val="single" w:sz="8" w:space="0" w:color="000000"/>
              <w:right w:val="single" w:sz="4" w:space="0" w:color="000000"/>
            </w:tcBorders>
            <w:shd w:color="000000" w:fill="FFC000" w:val="clear"/>
            <w:vAlign w:val="center"/>
          </w:tcPr>
          <w:p>
            <w:pPr>
              <w:pStyle w:val="Normal"/>
              <w:widowControl w:val="false"/>
              <w:spacing w:lineRule="auto" w:line="240" w:before="0" w:after="0"/>
              <w:jc w:val="center"/>
              <w:rPr>
                <w:rFonts w:ascii="Arial CE" w:hAnsi="Arial CE" w:eastAsia="Times New Roman" w:cs="Times New Roman"/>
                <w:sz w:val="20"/>
                <w:szCs w:val="20"/>
                <w:lang w:eastAsia="pl-PL"/>
              </w:rPr>
            </w:pPr>
            <w:r>
              <w:rPr>
                <w:rFonts w:eastAsia="Times New Roman" w:cs="Times New Roman" w:ascii="Arial CE" w:hAnsi="Arial CE"/>
                <w:sz w:val="20"/>
                <w:szCs w:val="20"/>
                <w:lang w:eastAsia="pl-PL"/>
              </w:rPr>
              <w:t>1,30</w:t>
            </w:r>
          </w:p>
        </w:tc>
      </w:tr>
      <w:tr>
        <w:trPr>
          <w:trHeight w:val="276" w:hRule="atLeast"/>
        </w:trPr>
        <w:tc>
          <w:tcPr>
            <w:tcW w:w="400" w:type="dxa"/>
            <w:tcBorders/>
            <w:shd w:color="auto" w:fill="auto" w:val="clear"/>
            <w:vAlign w:val="bottom"/>
          </w:tcPr>
          <w:p>
            <w:pPr>
              <w:pStyle w:val="Normal"/>
              <w:widowControl w:val="false"/>
              <w:spacing w:lineRule="auto" w:line="240" w:before="0" w:after="0"/>
              <w:jc w:val="center"/>
              <w:rPr>
                <w:rFonts w:ascii="Arial CE" w:hAnsi="Arial CE" w:eastAsia="Times New Roman" w:cs="Times New Roman"/>
                <w:sz w:val="20"/>
                <w:szCs w:val="20"/>
                <w:lang w:eastAsia="pl-PL"/>
              </w:rPr>
            </w:pPr>
            <w:r>
              <w:rPr>
                <w:rFonts w:eastAsia="Times New Roman" w:cs="Times New Roman" w:ascii="Arial CE" w:hAnsi="Arial CE"/>
                <w:sz w:val="20"/>
                <w:szCs w:val="20"/>
                <w:lang w:eastAsia="pl-PL"/>
              </w:rPr>
            </w:r>
          </w:p>
        </w:tc>
        <w:tc>
          <w:tcPr>
            <w:tcW w:w="1500" w:type="dxa"/>
            <w:tcBorders/>
            <w:shd w:color="auto" w:fill="auto" w:val="clear"/>
          </w:tcPr>
          <w:p>
            <w:pPr>
              <w:pStyle w:val="Normal"/>
              <w:widowControl w:val="false"/>
              <w:spacing w:lineRule="auto" w:line="240" w:before="0" w:after="0"/>
              <w:jc w:val="center"/>
              <w:rPr>
                <w:rFonts w:ascii="Arial CE" w:hAnsi="Arial CE" w:eastAsia="Times New Roman" w:cs="Times New Roman"/>
                <w:sz w:val="20"/>
                <w:szCs w:val="20"/>
                <w:lang w:eastAsia="pl-PL"/>
              </w:rPr>
            </w:pPr>
            <w:r>
              <w:rPr>
                <w:rFonts w:eastAsia="Times New Roman" w:cs="Times New Roman" w:ascii="Arial CE" w:hAnsi="Arial CE"/>
                <w:sz w:val="20"/>
                <w:szCs w:val="20"/>
                <w:lang w:eastAsia="pl-PL"/>
              </w:rPr>
              <w:t>razy mniejszy</w:t>
            </w:r>
          </w:p>
        </w:tc>
        <w:tc>
          <w:tcPr>
            <w:tcW w:w="939" w:type="dxa"/>
            <w:tcBorders/>
            <w:shd w:color="auto" w:fill="auto" w:val="clear"/>
          </w:tcPr>
          <w:p>
            <w:pPr>
              <w:pStyle w:val="Normal"/>
              <w:widowControl w:val="false"/>
              <w:spacing w:lineRule="auto" w:line="240" w:before="0" w:after="0"/>
              <w:jc w:val="center"/>
              <w:rPr>
                <w:rFonts w:ascii="Arial CE" w:hAnsi="Arial CE" w:eastAsia="Times New Roman" w:cs="Times New Roman"/>
                <w:sz w:val="20"/>
                <w:szCs w:val="20"/>
                <w:lang w:eastAsia="pl-PL"/>
              </w:rPr>
            </w:pPr>
            <w:r>
              <w:rPr>
                <w:rFonts w:eastAsia="Times New Roman" w:cs="Times New Roman" w:ascii="Arial CE" w:hAnsi="Arial CE"/>
                <w:sz w:val="20"/>
                <w:szCs w:val="20"/>
                <w:lang w:eastAsia="pl-PL"/>
              </w:rPr>
              <w:t>5,5</w:t>
            </w:r>
          </w:p>
        </w:tc>
        <w:tc>
          <w:tcPr>
            <w:tcW w:w="1001" w:type="dxa"/>
            <w:tcBorders/>
            <w:shd w:color="auto" w:fill="auto" w:val="clear"/>
          </w:tcPr>
          <w:p>
            <w:pPr>
              <w:pStyle w:val="Normal"/>
              <w:widowControl w:val="false"/>
              <w:spacing w:lineRule="auto" w:line="240" w:before="0" w:after="0"/>
              <w:jc w:val="center"/>
              <w:rPr>
                <w:rFonts w:ascii="Arial CE" w:hAnsi="Arial CE" w:eastAsia="Times New Roman" w:cs="Times New Roman"/>
                <w:sz w:val="20"/>
                <w:szCs w:val="20"/>
                <w:lang w:eastAsia="pl-PL"/>
              </w:rPr>
            </w:pPr>
            <w:r>
              <w:rPr>
                <w:rFonts w:eastAsia="Times New Roman" w:cs="Times New Roman" w:ascii="Arial CE" w:hAnsi="Arial CE"/>
                <w:sz w:val="20"/>
                <w:szCs w:val="20"/>
                <w:lang w:eastAsia="pl-PL"/>
              </w:rPr>
              <w:t>4,7</w:t>
            </w:r>
          </w:p>
        </w:tc>
        <w:tc>
          <w:tcPr>
            <w:tcW w:w="939" w:type="dxa"/>
            <w:tcBorders/>
            <w:shd w:color="auto" w:fill="auto" w:val="clear"/>
          </w:tcPr>
          <w:p>
            <w:pPr>
              <w:pStyle w:val="Normal"/>
              <w:widowControl w:val="false"/>
              <w:spacing w:lineRule="auto" w:line="240" w:before="0" w:after="0"/>
              <w:jc w:val="center"/>
              <w:rPr>
                <w:rFonts w:ascii="Arial CE" w:hAnsi="Arial CE" w:eastAsia="Times New Roman" w:cs="Times New Roman"/>
                <w:sz w:val="20"/>
                <w:szCs w:val="20"/>
                <w:lang w:eastAsia="pl-PL"/>
              </w:rPr>
            </w:pPr>
            <w:r>
              <w:rPr>
                <w:rFonts w:eastAsia="Times New Roman" w:cs="Times New Roman" w:ascii="Arial CE" w:hAnsi="Arial CE"/>
                <w:sz w:val="20"/>
                <w:szCs w:val="20"/>
                <w:lang w:eastAsia="pl-PL"/>
              </w:rPr>
              <w:t>2,7</w:t>
            </w:r>
          </w:p>
        </w:tc>
        <w:tc>
          <w:tcPr>
            <w:tcW w:w="941" w:type="dxa"/>
            <w:tcBorders/>
            <w:shd w:color="auto" w:fill="auto" w:val="clear"/>
          </w:tcPr>
          <w:p>
            <w:pPr>
              <w:pStyle w:val="Normal"/>
              <w:widowControl w:val="false"/>
              <w:spacing w:lineRule="auto" w:line="240" w:before="0" w:after="0"/>
              <w:jc w:val="center"/>
              <w:rPr>
                <w:rFonts w:ascii="Arial CE" w:hAnsi="Arial CE" w:eastAsia="Times New Roman" w:cs="Times New Roman"/>
                <w:sz w:val="20"/>
                <w:szCs w:val="20"/>
                <w:lang w:eastAsia="pl-PL"/>
              </w:rPr>
            </w:pPr>
            <w:r>
              <w:rPr>
                <w:rFonts w:eastAsia="Times New Roman" w:cs="Times New Roman" w:ascii="Arial CE" w:hAnsi="Arial CE"/>
                <w:sz w:val="20"/>
                <w:szCs w:val="20"/>
                <w:lang w:eastAsia="pl-PL"/>
              </w:rPr>
              <w:t>2,9</w:t>
            </w:r>
          </w:p>
        </w:tc>
        <w:tc>
          <w:tcPr>
            <w:tcW w:w="939" w:type="dxa"/>
            <w:tcBorders/>
            <w:shd w:color="auto" w:fill="auto" w:val="clear"/>
          </w:tcPr>
          <w:p>
            <w:pPr>
              <w:pStyle w:val="Normal"/>
              <w:widowControl w:val="false"/>
              <w:spacing w:lineRule="auto" w:line="240" w:before="0" w:after="0"/>
              <w:jc w:val="center"/>
              <w:rPr>
                <w:rFonts w:ascii="Arial CE" w:hAnsi="Arial CE" w:eastAsia="Times New Roman" w:cs="Times New Roman"/>
                <w:sz w:val="20"/>
                <w:szCs w:val="20"/>
                <w:lang w:eastAsia="pl-PL"/>
              </w:rPr>
            </w:pPr>
            <w:r>
              <w:rPr>
                <w:rFonts w:eastAsia="Times New Roman" w:cs="Times New Roman" w:ascii="Arial CE" w:hAnsi="Arial CE"/>
                <w:sz w:val="20"/>
                <w:szCs w:val="20"/>
                <w:lang w:eastAsia="pl-PL"/>
              </w:rPr>
              <w:t>2,0</w:t>
            </w:r>
          </w:p>
        </w:tc>
      </w:tr>
    </w:tbl>
    <w:p>
      <w:pPr>
        <w:pStyle w:val="Normal"/>
        <w:rPr/>
      </w:pPr>
      <w:r>
        <w:rPr/>
        <w:t xml:space="preserve">Jak widzimy w tabeli, przez prawie 20 lat wartości przenikania ciepła zmniejszyła się od 2 do ponad 5 razy, co spowodowało że jak w 1983 r by spełniać wymagania normy wystarczyło ocieplać ścianę np. białym styropianem grubości 3 cm, tak obecnie by dotrzymać parametry i by ten sam budynek nadal spełniał wytyczne, należy ocieplać go styropianem grubości 17 cm. </w:t>
      </w:r>
    </w:p>
    <w:p>
      <w:pPr>
        <w:pStyle w:val="Normal"/>
        <w:rPr/>
      </w:pPr>
      <w:r>
        <w:rPr/>
        <w:t xml:space="preserve">O izolacyjności cieplnej materiału decyduje zazwyczaj wartość </w:t>
      </w:r>
      <w:r>
        <w:rPr>
          <w:b/>
          <w:bCs/>
        </w:rPr>
        <w:t xml:space="preserve">współczynnika przewodzenia ciepła λ </w:t>
      </w:r>
      <w:r>
        <w:rPr/>
        <w:t>(</w:t>
      </w:r>
      <w:r>
        <w:rPr>
          <w:b/>
          <w:bCs/>
        </w:rPr>
        <w:t>lambda</w:t>
      </w:r>
      <w:r>
        <w:rPr/>
        <w:t xml:space="preserve">). Współczynnik ten wraz z grubością warstwy określa efektywność energetyczną izolacji. Jest ona wyrażona przez </w:t>
      </w:r>
      <w:r>
        <w:rPr>
          <w:b/>
          <w:bCs/>
        </w:rPr>
        <w:t xml:space="preserve">współczynnik przenikania ciepła U </w:t>
      </w:r>
      <w:r>
        <w:rPr/>
        <w:t>dla całej powierzchni.</w:t>
      </w:r>
    </w:p>
    <w:p>
      <w:pPr>
        <w:pStyle w:val="Normal"/>
        <w:jc w:val="both"/>
        <w:rPr/>
      </w:pPr>
      <w:r>
        <w:rPr/>
        <w:t>Im większa będzie izolacja, tym większa bariera dla uciekającego ciepła i tym mniej go ucieka. Kiedy zwiększamy grubość izolacji, zauważymy, że ucieczka ciepła zmniejsza się i spadła ilość uciekającej energii (koszt ogrzewania).</w:t>
      </w:r>
    </w:p>
    <w:p>
      <w:pPr>
        <w:pStyle w:val="Normal"/>
        <w:jc w:val="both"/>
        <w:rPr/>
      </w:pPr>
      <w:r>
        <w:rPr/>
        <w:t>Porównując ilość uciekającego przez ścianę ciepła przy braku izolacji, oraz izolacji 5, 10 i 15 cm. Ilość uciekającego ciepła można zmniejszyć kilkunastokrotnie! Do ciepła uciekającego przez ściany doliczane jest ciepło uciekające przez drzwi. Zwróć uwagę, że przy słabej izolacji ścian instalacja okien energooszczędnych prawie nie zmienia bilansu, za to przy bardzo dobrej izolacji montaż okien energooszczędnych ma bardzo duże znaczenie. To bardzo ważny wniosek – nie ma sensu doskonalić jednego elementu, ignorując inne – to się po prostu nie opłaca. Co z tego, że poprawimy jeden element, dzięki czemu ucieczka ciepła tą drogą spadnie z 10 zł do 1 zł miesięcznie, kiedy obok ucieka 1000 złotych?</w:t>
      </w:r>
    </w:p>
    <w:p>
      <w:pPr>
        <w:pStyle w:val="Normal"/>
        <w:jc w:val="both"/>
        <w:rPr>
          <w:b/>
          <w:b/>
        </w:rPr>
      </w:pPr>
      <w:r>
        <w:rPr>
          <w:b/>
        </w:rPr>
        <w:t>Korzyści z przeprowadzenia działań termomodernizacyjnych to:</w:t>
      </w:r>
    </w:p>
    <w:p>
      <w:pPr>
        <w:pStyle w:val="Normal"/>
        <w:numPr>
          <w:ilvl w:val="0"/>
          <w:numId w:val="7"/>
        </w:numPr>
        <w:jc w:val="both"/>
        <w:rPr/>
      </w:pPr>
      <w:r>
        <w:rPr>
          <w:b/>
          <w:bCs/>
        </w:rPr>
        <w:t>Termomodernizacja</w:t>
      </w:r>
      <w:r>
        <w:rPr/>
        <w:t xml:space="preserve"> w starych, nieocieplonych budynkach przeprowadzona poprzez zaizolowanie tylko samych przegród budowlanych (ścian, stropów, dachów, okien, …,), zgodnie z aktualnie obowiązującymi przepisami, </w:t>
      </w:r>
      <w:r>
        <w:rPr>
          <w:b/>
          <w:bCs/>
          <w:u w:val="single"/>
        </w:rPr>
        <w:t>pozwala zaoszczędzić nawet do 60% energii</w:t>
      </w:r>
      <w:r>
        <w:rPr/>
        <w:t>;</w:t>
      </w:r>
    </w:p>
    <w:p>
      <w:pPr>
        <w:pStyle w:val="Normal"/>
        <w:numPr>
          <w:ilvl w:val="0"/>
          <w:numId w:val="7"/>
        </w:numPr>
        <w:jc w:val="both"/>
        <w:rPr/>
      </w:pPr>
      <w:r>
        <w:rPr>
          <w:b/>
          <w:bCs/>
        </w:rPr>
        <w:t>Ocieplenie</w:t>
      </w:r>
      <w:r>
        <w:rPr/>
        <w:t xml:space="preserve"> wpływa także na </w:t>
      </w:r>
      <w:r>
        <w:rPr>
          <w:b/>
          <w:bCs/>
        </w:rPr>
        <w:t>polepszenie komfortu</w:t>
      </w:r>
      <w:r>
        <w:rPr/>
        <w:t xml:space="preserve"> oraz ogranicza możliwość skraplania się pary wodnej prowadzącej do powstawania pleśni;</w:t>
      </w:r>
    </w:p>
    <w:p>
      <w:pPr>
        <w:pStyle w:val="Normal"/>
        <w:numPr>
          <w:ilvl w:val="0"/>
          <w:numId w:val="7"/>
        </w:numPr>
        <w:jc w:val="both"/>
        <w:rPr/>
      </w:pPr>
      <w:r>
        <w:rPr/>
        <w:t xml:space="preserve">Spowoduje zwiększenie </w:t>
      </w:r>
      <w:r>
        <w:rPr>
          <w:b/>
          <w:bCs/>
        </w:rPr>
        <w:t>wartości rynkowej budynku;</w:t>
      </w:r>
    </w:p>
    <w:p>
      <w:pPr>
        <w:pStyle w:val="Normal"/>
        <w:numPr>
          <w:ilvl w:val="0"/>
          <w:numId w:val="7"/>
        </w:numPr>
        <w:jc w:val="both"/>
        <w:rPr/>
      </w:pPr>
      <w:r>
        <w:rPr/>
        <w:t xml:space="preserve">Poprawi </w:t>
      </w:r>
      <w:r>
        <w:rPr>
          <w:b/>
          <w:bCs/>
        </w:rPr>
        <w:t xml:space="preserve">stan techniczny </w:t>
      </w:r>
      <w:r>
        <w:rPr/>
        <w:t>przegród i instalacji.</w:t>
      </w:r>
    </w:p>
    <w:p>
      <w:pPr>
        <w:pStyle w:val="Normal"/>
        <w:jc w:val="both"/>
        <w:rPr/>
      </w:pPr>
      <w:r>
        <w:rPr/>
        <w:t>Wniosek z tego że im głębsza, czyli bardziej kompleksowa termomodernizacja, tym większy będzie efekt końcowy w postaci wyższego komfortu cieplnego i trwałych oszczędności energii.</w:t>
      </w:r>
    </w:p>
    <w:p>
      <w:pPr>
        <w:pStyle w:val="Normal"/>
        <w:jc w:val="both"/>
        <w:rPr>
          <w:b/>
          <w:b/>
        </w:rPr>
      </w:pPr>
      <w:r>
        <w:rPr>
          <w:b/>
        </w:rPr>
        <w:t>Docieplenie</w:t>
      </w:r>
      <w:r>
        <w:rPr/>
        <w:t xml:space="preserve"> </w:t>
      </w:r>
      <w:r>
        <w:rPr>
          <w:b/>
        </w:rPr>
        <w:t>ścian zewnętrznych</w:t>
      </w:r>
    </w:p>
    <w:p>
      <w:pPr>
        <w:pStyle w:val="Normal"/>
        <w:jc w:val="both"/>
        <w:rPr/>
      </w:pPr>
      <w:r>
        <w:rPr/>
        <w:t>Przez nieocieplone ściany może uciekać nawet 30% ciepła z budynku. Dlatego kluczową kwestią podczas prac termomodernizacyjnych jest ocieplenie domu – koniecznie przed wymianą instalacji grzewczej. Odwrotna kolejność może sprawić, że źle oszacujesz potrzeby energetyczne budynku, przez co wybierzesz urządzenie grzewcze o zbyt dużej mocy. A to oznaczałoby zwiększone koszty ogrzewania.</w:t>
      </w:r>
    </w:p>
    <w:p>
      <w:pPr>
        <w:pStyle w:val="Normal"/>
        <w:spacing w:before="0" w:after="0"/>
        <w:jc w:val="both"/>
        <w:rPr/>
      </w:pPr>
      <w:r>
        <w:rPr/>
        <w:t>Kompletny system ocieplenia ścian zewnętrznych zawiera następujące elementy:</w:t>
      </w:r>
    </w:p>
    <w:p>
      <w:pPr>
        <w:pStyle w:val="Normal"/>
        <w:spacing w:before="0" w:after="0"/>
        <w:jc w:val="both"/>
        <w:rPr/>
      </w:pPr>
      <w:r>
        <w:rPr/>
        <w:t>•</w:t>
      </w:r>
      <w:r>
        <w:rPr/>
        <w:tab/>
        <w:t>zaprawa klejąca do płyt termoizolacyjnych,</w:t>
      </w:r>
    </w:p>
    <w:p>
      <w:pPr>
        <w:pStyle w:val="Normal"/>
        <w:spacing w:before="0" w:after="0"/>
        <w:jc w:val="both"/>
        <w:rPr/>
      </w:pPr>
      <w:r>
        <w:rPr/>
        <w:t>•</w:t>
      </w:r>
      <w:r>
        <w:rPr/>
        <w:tab/>
        <w:t>płyty z wełny mineralnej lub styropianu,</w:t>
      </w:r>
    </w:p>
    <w:p>
      <w:pPr>
        <w:pStyle w:val="Normal"/>
        <w:spacing w:before="0" w:after="0"/>
        <w:jc w:val="both"/>
        <w:rPr/>
      </w:pPr>
      <w:r>
        <w:rPr/>
        <w:t>•</w:t>
      </w:r>
      <w:r>
        <w:rPr/>
        <w:tab/>
        <w:t>warstwa zbrojona (masa szpachlowa + siatka zbrojona),</w:t>
      </w:r>
    </w:p>
    <w:p>
      <w:pPr>
        <w:pStyle w:val="Normal"/>
        <w:spacing w:before="0" w:after="0"/>
        <w:jc w:val="both"/>
        <w:rPr/>
      </w:pPr>
      <w:r>
        <w:rPr/>
        <w:t>•</w:t>
      </w:r>
      <w:r>
        <w:rPr/>
        <w:tab/>
        <w:t>środek gruntujący,</w:t>
      </w:r>
    </w:p>
    <w:p>
      <w:pPr>
        <w:pStyle w:val="Normal"/>
        <w:spacing w:before="0" w:after="0"/>
        <w:jc w:val="both"/>
        <w:rPr/>
      </w:pPr>
      <w:r>
        <w:rPr/>
        <w:t>•</w:t>
      </w:r>
      <w:r>
        <w:rPr/>
        <w:tab/>
        <w:t>tynk elewacyjny.</w:t>
      </w:r>
    </w:p>
    <w:p>
      <w:pPr>
        <w:pStyle w:val="Normal"/>
        <w:jc w:val="both"/>
        <w:rPr/>
      </w:pPr>
      <w:r>
        <w:rPr/>
        <w:t xml:space="preserve">Należy zauważyć że jest to jednak najkosztowniejszy i za razem najbardziej spektakularne działanie termomodernizacyjne. Istota tego działanie nie wiąże się tylko z izolacją termiczną przegrody, ale również działaniem zmierzającym do ograniczenia negatywnego działania mostków termicznych oraz nieszczelności w przegrodach budynku. </w:t>
      </w:r>
    </w:p>
    <w:p>
      <w:pPr>
        <w:pStyle w:val="Normal"/>
        <w:jc w:val="center"/>
        <w:rPr/>
      </w:pPr>
      <w:r>
        <w:rPr/>
        <w:drawing>
          <wp:inline distT="0" distB="0" distL="0" distR="0">
            <wp:extent cx="4310380" cy="2243455"/>
            <wp:effectExtent l="0" t="0" r="0" b="0"/>
            <wp:docPr id="2" name="Obraz 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az 7" descr=""/>
                    <pic:cNvPicPr>
                      <a:picLocks noChangeAspect="1" noChangeArrowheads="1"/>
                    </pic:cNvPicPr>
                  </pic:nvPicPr>
                  <pic:blipFill>
                    <a:blip r:embed="rId3"/>
                    <a:stretch>
                      <a:fillRect/>
                    </a:stretch>
                  </pic:blipFill>
                  <pic:spPr bwMode="auto">
                    <a:xfrm>
                      <a:off x="0" y="0"/>
                      <a:ext cx="4310380" cy="2243455"/>
                    </a:xfrm>
                    <a:prstGeom prst="rect">
                      <a:avLst/>
                    </a:prstGeom>
                  </pic:spPr>
                </pic:pic>
              </a:graphicData>
            </a:graphic>
          </wp:inline>
        </w:drawing>
      </w:r>
    </w:p>
    <w:p>
      <w:pPr>
        <w:pStyle w:val="Normal"/>
        <w:jc w:val="both"/>
        <w:rPr/>
      </w:pPr>
      <w:r>
        <w:rPr/>
        <w:t>W ten sposób nawet niewielka grubość izolacji przynosi wymierne efekty. Izolacja pionowa wiąże się jednak ze zmianą elewacji, a koszty materiału izolacyjnego stanowią jedynie drobną część kosztów tej inwestycji. Z tego też względu, wykonywany audyt termomodernizacyjny określał grubość izolacji spełniającą Wymagania Techniczne dla tej przegrody, a jednocześnie stanowiącą grubość optymalną z punktu widzenia spodziewanej oszczędności kosztów energii. Dzisiaj, gdy ceny materiału izolacyjnego są wysokie, a Warunki techniczne narzucają współczynnik przenikania U nie przekraczał 0,2 [W/m</w:t>
      </w:r>
      <w:r>
        <w:rPr>
          <w:vertAlign w:val="superscript"/>
        </w:rPr>
        <w:t>2</w:t>
      </w:r>
      <w:r>
        <w:rPr/>
        <w:t>K] grubość izolacji musi być na tyle duża, że obliczenia zmierzające do określenia grubości optymalnej nie były potrzebne. Może się to jednak zmienić, gdyż koszty jaki zaczęliśmy płacić za ogrzewanie jest niewspółmiernie wyższy w stosunku do cen z lat poprzednich.</w:t>
      </w:r>
    </w:p>
    <w:p>
      <w:pPr>
        <w:pStyle w:val="Normal"/>
        <w:jc w:val="both"/>
        <w:rPr>
          <w:b/>
          <w:b/>
        </w:rPr>
      </w:pPr>
      <w:r>
        <w:rPr>
          <w:b/>
        </w:rPr>
        <w:t>Docieplenie</w:t>
      </w:r>
      <w:r>
        <w:rPr/>
        <w:t xml:space="preserve"> </w:t>
      </w:r>
      <w:r>
        <w:rPr>
          <w:b/>
        </w:rPr>
        <w:t>dachu lub stropodachu</w:t>
      </w:r>
    </w:p>
    <w:p>
      <w:pPr>
        <w:pStyle w:val="Normal"/>
        <w:jc w:val="both"/>
        <w:rPr/>
      </w:pPr>
      <w:r>
        <w:rPr/>
        <w:t>Jeżeli Twój dom posiada poddasze nieużytkowe, wystarczy ocieplenie stropu, które oddzieli je od części mieszkalnej (można to zrobić za pomocą wełny mineralnej i folii paroszczelnej). W przypadku poddasza użytkowego należy ocieplić połać dachu. Rodzaj i sposób montażu ocieplenia zależy od rodzaju dachu.</w:t>
      </w:r>
    </w:p>
    <w:p>
      <w:pPr>
        <w:pStyle w:val="Normal"/>
        <w:jc w:val="both"/>
        <w:rPr/>
      </w:pPr>
      <w:r>
        <w:rPr/>
        <w:t xml:space="preserve">Jedną z prostszych działań termomodernizacyjnych jest ocieplenie powierzchni poziomych. Co ważne nie trzeba do tego specjalistycznego sprzętu, a rzeczywisty koszt termomodernizacji (gdy nie wliczamy robocizny własnej) to koszt materiałów izolacyjnych i transportu. </w:t>
      </w:r>
    </w:p>
    <w:p>
      <w:pPr>
        <w:pStyle w:val="Normal"/>
        <w:jc w:val="both"/>
        <w:rPr/>
      </w:pPr>
      <w:r>
        <w:rPr/>
        <w:t>Izolacja dachu to głównie izolacja przestrzeni między krokwiami. Ważne by zachować przelot powietrza między dachem, a materiałem izolacyjnym. Bardzo dobrym rozwiązaniem jest zastosowanie metody natryskowej pur, albo wdmuchanie granulatów np., ecofiber. Ważne by to uwzględnić bo przez te przegrody ucieka proporcjonalnie najwięcej ciepła.</w:t>
      </w:r>
    </w:p>
    <w:p>
      <w:pPr>
        <w:pStyle w:val="Normal"/>
        <w:jc w:val="both"/>
        <w:rPr>
          <w:b/>
          <w:b/>
        </w:rPr>
      </w:pPr>
      <w:r>
        <w:rPr>
          <w:b/>
        </w:rPr>
        <w:t>Docieplenie podłogi na gruncie, stropu nad nieogrzewaną piwnicą</w:t>
      </w:r>
    </w:p>
    <w:p>
      <w:pPr>
        <w:pStyle w:val="Normal"/>
        <w:jc w:val="both"/>
        <w:rPr/>
      </w:pPr>
      <w:r>
        <w:rPr/>
        <w:t>Ostatnim etapem prac powinno być ocieplenie podłóg na gruncie i strefy cokołowej. Jeżeli pod strefą mieszkalną znajduje się piwnica, możesz ocieplić jej strop od spodu.</w:t>
      </w:r>
    </w:p>
    <w:p>
      <w:pPr>
        <w:pStyle w:val="Normal"/>
        <w:jc w:val="both"/>
        <w:rPr/>
      </w:pPr>
      <w:r>
        <w:rPr/>
        <w:t>Ocieplenie tej przegrody jest dosyć kłopotliwe ze względu na fakt, iż zmianę dokonuje się w przypadku zmiany posadzki lub izolacji sufitu piwnicy. Często jednak dokonuje się ocieplenia w przypadku zastosowania ogrzewania podłogowego, które nie tylko zmienia nam komfort przebywania w pomieszczeniach, ale również zmienia sprawność instalacji (nim mniejsza temperatura grzania tym większa sprawność) oraz wykorzystują pojemność cieplną przegrody.</w:t>
      </w:r>
    </w:p>
    <w:p>
      <w:pPr>
        <w:pStyle w:val="Normal"/>
        <w:jc w:val="both"/>
        <w:rPr>
          <w:b/>
          <w:b/>
        </w:rPr>
      </w:pPr>
      <w:r>
        <w:rPr>
          <w:b/>
        </w:rPr>
        <w:t>Wymiana okien i drzwi</w:t>
      </w:r>
    </w:p>
    <w:p>
      <w:pPr>
        <w:pStyle w:val="Normal"/>
        <w:jc w:val="both"/>
        <w:rPr/>
      </w:pPr>
      <w:r>
        <w:rPr/>
        <w:t>Przez okna uchodzi trzy razy więcej ciepła z pomieszczenia niż przez ocieplone ściany zewnętrzne o tej samej powierzchni. Tymczasem zajmują one ok. 15% powierzchni przeciętnego domu jednorodzinnego. Dlatego też wymiana okien i drzwi zewnętrznych na bardziej szczelne to kolejny etap termomodernizacji budynku. Zastanów się, które z nowych okien mogą być nieotwierane – wówczas ich zakup i montaż może być tańszy. Ponadto takie okna lepiej doświetlą pomieszczenie dzięki mniejszemu przekrojowi ramy.</w:t>
      </w:r>
    </w:p>
    <w:p>
      <w:pPr>
        <w:pStyle w:val="Normal"/>
        <w:jc w:val="both"/>
        <w:rPr/>
      </w:pPr>
      <w:r>
        <w:rPr/>
        <w:t>Jak wspomniałem okna stanowią przegrodę o najgorszych parametrach przenikalności cieplnej. Trudno bowiem wprowadzać jakiekolwiek materiały izolacyjne (prócz wprowadzania gazów argon, krypton), bo funkcją okien jest doświetlenie pomieszczeń. Niemniej, wymagania jakie stawia się okna są coraz większe i tak jak kiedyś standardowy współczynnik przenikania dla okien wynosił 2,5 tak obecnie norma dla okien jest 2,8x surowsza i przenikalność dla okna wynosi 0,9.</w:t>
      </w:r>
    </w:p>
    <w:p>
      <w:pPr>
        <w:pStyle w:val="Normal"/>
        <w:jc w:val="both"/>
        <w:rPr/>
      </w:pPr>
      <w:r>
        <w:rPr/>
        <w:t>Warto tutaj wspomnieć, że przy sprzedaży okien handlowcy często zwracają uwagę na współczynnik przenikania dla szyby, który znacznie łatwiej uzyskać niż dla ramy okiennej. Nas jednak powinien interesować Współczynnik Uw całego okna uwzględniający współczynniki szyby, ramy i mostków cieplnych.</w:t>
      </w:r>
    </w:p>
    <w:p>
      <w:pPr>
        <w:pStyle w:val="Normal"/>
        <w:jc w:val="both"/>
        <w:rPr/>
      </w:pPr>
      <w:r>
        <w:rPr/>
        <w:drawing>
          <wp:inline distT="0" distB="0" distL="0" distR="0">
            <wp:extent cx="4598035" cy="2575560"/>
            <wp:effectExtent l="0" t="0" r="0" b="0"/>
            <wp:docPr id="3" name="Picture 8" descr="http://www.okna.koronowo.pl/files/image/Okna%20abakus/szyby/param-w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8" descr="http://www.okna.koronowo.pl/files/image/Okna%20abakus/szyby/param-wg.jpg"/>
                    <pic:cNvPicPr>
                      <a:picLocks noChangeAspect="1" noChangeArrowheads="1"/>
                    </pic:cNvPicPr>
                  </pic:nvPicPr>
                  <pic:blipFill>
                    <a:blip r:embed="rId4"/>
                    <a:srcRect l="15121" t="0" r="0" b="0"/>
                    <a:stretch>
                      <a:fillRect/>
                    </a:stretch>
                  </pic:blipFill>
                  <pic:spPr bwMode="auto">
                    <a:xfrm>
                      <a:off x="0" y="0"/>
                      <a:ext cx="4598035" cy="2575560"/>
                    </a:xfrm>
                    <a:prstGeom prst="rect">
                      <a:avLst/>
                    </a:prstGeom>
                  </pic:spPr>
                </pic:pic>
              </a:graphicData>
            </a:graphic>
          </wp:inline>
        </w:drawing>
      </w:r>
    </w:p>
    <w:p>
      <w:pPr>
        <w:pStyle w:val="Normal"/>
        <w:jc w:val="both"/>
        <w:rPr/>
      </w:pPr>
      <w:r>
        <w:rPr/>
        <w:t>http://www.okna.koronowo.pl/Okna-PCV-Abakus-Energy-322.html</w:t>
      </w:r>
    </w:p>
    <w:p>
      <w:pPr>
        <w:pStyle w:val="Normal"/>
        <w:jc w:val="both"/>
        <w:rPr/>
      </w:pPr>
      <w:r>
        <w:rPr/>
        <w:t>Ważne jednak by decydując się na wymianę okien uwzględnić iż metoda instalowania okien na kliny i piankę (idealna przy starym montażu) winna być zastąpioną tzw ciepłym montażem. Mostki cieplne, które w konwencjonalnym budownictwie nie miały dużego znaczenia, teraz będą stanowiły poważny uszczerbek. Inżynierowie namęczyli się bowiem by dochować parametrów ustawodawcy, a zamontowanie cudu techniki w stary sposób będzie objawem niedouczenia.</w:t>
      </w:r>
    </w:p>
    <w:p>
      <w:pPr>
        <w:pStyle w:val="Normal"/>
        <w:jc w:val="both"/>
        <w:rPr>
          <w:b/>
          <w:b/>
        </w:rPr>
      </w:pPr>
      <w:r>
        <w:rPr>
          <w:b/>
        </w:rPr>
        <w:t>Rolety zewnętrzne</w:t>
      </w:r>
    </w:p>
    <w:p>
      <w:pPr>
        <w:pStyle w:val="Normal"/>
        <w:jc w:val="both"/>
        <w:rPr/>
      </w:pPr>
      <w:r>
        <w:rPr/>
        <w:t>Pamiętam, jak trudno było przekonać moją żonę, by przed pracami elewacyjnymi zamontować w domu rolety zewnętrzne. Argument, że okien już nie jesteśmy w stanie poprawić i że za nieduże pieniądze mamy jeszcze wpływ na przestrzeń okienną dodając dodatkową przegrodę w mroźne dni, oraz ograniczenie nasłonecznienia w upały nie przemawiał. Ważne było, że sąsiedzi tego nie mają, a w Polsce odeszło się od okiennic. Na szczęście udało się. W lato pomieszczenia praktycznie się nie nagrzewają (choć słońce mocno operuje), można dom zostawić z otwartymi oknami bo rolety mają możliwość pozostawienia ze szparami wentylacyjnymi. W okresie niskich temperatur oraz silnych wiatrów mamy dodatkową izolację i pustkę powietrzną.</w:t>
      </w:r>
    </w:p>
    <w:p>
      <w:pPr>
        <w:pStyle w:val="Normal"/>
        <w:jc w:val="both"/>
        <w:rPr>
          <w:b/>
          <w:b/>
        </w:rPr>
      </w:pPr>
      <w:r>
        <w:rPr>
          <w:b/>
        </w:rPr>
        <w:t>Modernizacja systemów wentylacji</w:t>
      </w:r>
    </w:p>
    <w:p>
      <w:pPr>
        <w:pStyle w:val="Normal"/>
        <w:rPr/>
      </w:pPr>
      <w:r>
        <w:rPr/>
        <w:t>Na co dzień jesteśmy narażeni w budynkach na: kurz, pyłki roślin, zarodniki grzybów i pleśni, zanieczyszczenia chemiczne wydzielane przez materiały budowlane oraz wilgoć. Konsekwencją złej wentylacji może być: grzyb i pleśń na nadprożach, ościeżnicach, pod parapetem, w narożach pokoi, za meblami, skroplona para wodna na chłodnych powierzchniach ścian i przedmiotach, pęcznienie drewnianych mebli i podłóg, zaparowane szyby w oknach, złe samopoczucie – bóle i zawroty głowy, zmęczenie, podrażnienia błony śluzowej nosa, gardła, skóry, uczulenia, alergie oraz niszczenie konstrukcji budynku – wnikanie wilgoci do ścian i stopniowa ich destrukcja.</w:t>
      </w:r>
    </w:p>
    <w:p>
      <w:pPr>
        <w:pStyle w:val="Normal"/>
        <w:jc w:val="both"/>
        <w:rPr/>
      </w:pPr>
      <w:r>
        <w:rPr/>
        <w:t>Jak dodamy do tego fakt, że najwięcej energii ciepła ucieka wentylacją, to stwierdzimy, że  warto jej się baczniej przyjrzeć.</w:t>
      </w:r>
    </w:p>
    <w:p>
      <w:pPr>
        <w:pStyle w:val="Normal"/>
        <w:jc w:val="both"/>
        <w:rPr/>
      </w:pPr>
      <w:r>
        <w:rPr/>
        <w:t>Generalnie rozróżniamy dwa sposoby wentylacji:</w:t>
      </w:r>
    </w:p>
    <w:p>
      <w:pPr>
        <w:pStyle w:val="Normal"/>
        <w:jc w:val="both"/>
        <w:rPr/>
      </w:pPr>
      <w:r>
        <w:rPr>
          <w:b/>
        </w:rPr>
        <w:t>Wentylacja grawitacyjna</w:t>
      </w:r>
      <w:r>
        <w:rPr/>
        <w:t xml:space="preserve"> – wykorzystuje różnicę temperatur wewnątrz oraz na zewnątrz budynku, jednak ilość wymienianego powietrza jest poza Twoją kontrolą i zależy od warunków atmosferycznych. Nie trudno zaobserwować, że nim chłodniej na dworze, tym ruch powietrza w kratkach wentylacyjnych większy. Konsekwencją jest brak wentylacji latem i nadmiar wentylacji zimą. Nadmuch powietrza prowadzony jest więc przez nieszczelności okien i drzwi, by z kuchni i łazienki wylecieć kominem. </w:t>
      </w:r>
    </w:p>
    <w:p>
      <w:pPr>
        <w:pStyle w:val="Normal"/>
        <w:jc w:val="both"/>
        <w:rPr/>
      </w:pPr>
      <w:r>
        <w:rPr>
          <w:b/>
        </w:rPr>
        <w:t>Wentylacja mechaniczna</w:t>
      </w:r>
      <w:r>
        <w:rPr/>
        <w:t xml:space="preserve"> – daje pełną kontrolę nad wymianą powietrza, a właściwie wykonana może zmniejszyć zapotrzebowanie budynku na ciepło o 25%. Jest droższa i wymaga rozprowadzenia po domu rur wentylacyjnych o dużej średnicy, ukrytych pod podwieszanymi sufitami, co oznacza dużą ingerencję w konstrukcję budynku. Dzięki zastosowaniu rekuperacji (odzysku ciepła z wywiewanego powietrza) można dodatkowo zaoszczędzić na ogrzewaniu.</w:t>
      </w:r>
    </w:p>
    <w:p>
      <w:pPr>
        <w:pStyle w:val="Normal"/>
        <w:rPr/>
      </w:pPr>
      <w:r>
        <w:rPr/>
        <w:t>Ze względu na mniejsze koszty oraz łatwość wykonania, powszechnym rozwiązaniem jest zastosowanie systemu grawitacyjnego. Podstawowa zasada dobrze działającej wentylacji grawitacyjnej brzmi: z mieszkania może być odprowadzony tylko taki strumień powietrza jaki do niego napłynie. Brak możliwości sprawnego sterowania systemu wentylacji grawitacyjnej zmusza mieszkańców do zakrywania kratek wentylacyjnych oraz uszczelniania okien, co mocno ogranicza lub uniemożliwia wentylację pomieszczeń.</w:t>
      </w:r>
    </w:p>
    <w:p>
      <w:pPr>
        <w:pStyle w:val="Normal"/>
        <w:rPr/>
      </w:pPr>
      <w:r>
        <w:rPr/>
        <w:t xml:space="preserve">Aby usunąć zanieczyszczone  powietrze z wszystkich pomieszczeń (nie we wszystkich są kratki wentylacyjne), należy zapewnić </w:t>
      </w:r>
      <w:r>
        <w:rPr>
          <w:b/>
          <w:bCs/>
        </w:rPr>
        <w:t>dobrą cyrkulację wewnątrz pokoi i między pomieszczeniami</w:t>
      </w:r>
      <w:r>
        <w:rPr/>
        <w:t>.</w:t>
      </w:r>
    </w:p>
    <w:p>
      <w:pPr>
        <w:pStyle w:val="Normal"/>
        <w:rPr/>
      </w:pPr>
      <w:r>
        <w:rPr/>
        <w:t xml:space="preserve">Powietrze w pomieszczeniach cyrkuluje w następujący sposób: Pod oknami, czyli przegrodami o najgorszych parametrach cieplnych usytuowane są grzejniki, z które ogrzewając powietrze powodują cyrkulację w pokoju. Dodatkowo parapety kierują strumień powietrza tak by wprowadzić go w obieg i by wszystkie przestrzenie pokoju były wietrzone. Tyle teorii. A w praktyce – traktujemy grzejniki jak suszarkę i szpetny element, który trzeba zasłonić. Zasłaniamy je szafami dziwiąc się, że w pokojach bywa zimno i trzeba dogrzewać się farelką. Warto wiedzieć że wilgotność względna w dużej mierze zależy od temperatury. </w:t>
      </w:r>
    </w:p>
    <w:p>
      <w:pPr>
        <w:pStyle w:val="Normal"/>
        <w:rPr/>
      </w:pPr>
      <w:r>
        <w:rPr/>
        <w:drawing>
          <wp:inline distT="0" distB="0" distL="0" distR="0">
            <wp:extent cx="5760720" cy="3006090"/>
            <wp:effectExtent l="0" t="0" r="0" b="0"/>
            <wp:docPr id="4" name="Obraz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az 1" descr=""/>
                    <pic:cNvPicPr>
                      <a:picLocks noChangeAspect="1" noChangeArrowheads="1"/>
                    </pic:cNvPicPr>
                  </pic:nvPicPr>
                  <pic:blipFill>
                    <a:blip r:embed="rId5"/>
                    <a:srcRect l="1410" t="46820" r="22109" b="0"/>
                    <a:stretch>
                      <a:fillRect/>
                    </a:stretch>
                  </pic:blipFill>
                  <pic:spPr bwMode="auto">
                    <a:xfrm>
                      <a:off x="0" y="0"/>
                      <a:ext cx="5760720" cy="3006090"/>
                    </a:xfrm>
                    <a:prstGeom prst="rect">
                      <a:avLst/>
                    </a:prstGeom>
                  </pic:spPr>
                </pic:pic>
              </a:graphicData>
            </a:graphic>
          </wp:inline>
        </w:drawing>
      </w:r>
      <w:r>
        <w:rPr/>
        <w:t>Dlatego w tym samym pomieszczeniu w miejscu, gdzie mamy temperaturę 20 stC wilgotność może wynosić 50%, gdy jednocześnie w narożach czy za szafą gdzie temperatura może być dużo mniejsza wilgotność może przewyższać 70% dając dobre warunki do rozwoju np. pleśni, a w skrajnych warunkach może prowadzić do skraplania pary na powierzchni ścian.</w:t>
      </w:r>
    </w:p>
    <w:p>
      <w:pPr>
        <w:pStyle w:val="Normal"/>
        <w:jc w:val="center"/>
        <w:rPr/>
      </w:pPr>
      <w:r>
        <w:rPr/>
        <w:drawing>
          <wp:inline distT="0" distB="0" distL="0" distR="0">
            <wp:extent cx="3258185" cy="2343785"/>
            <wp:effectExtent l="0" t="0" r="0" b="0"/>
            <wp:docPr id="5" name="Obraz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Obraz2" descr=""/>
                    <pic:cNvPicPr>
                      <a:picLocks noChangeAspect="1" noChangeArrowheads="1"/>
                    </pic:cNvPicPr>
                  </pic:nvPicPr>
                  <pic:blipFill>
                    <a:blip r:embed="rId6"/>
                    <a:srcRect l="11569" t="31437" r="42451" b="9760"/>
                    <a:stretch>
                      <a:fillRect/>
                    </a:stretch>
                  </pic:blipFill>
                  <pic:spPr bwMode="auto">
                    <a:xfrm>
                      <a:off x="0" y="0"/>
                      <a:ext cx="3258185" cy="2343785"/>
                    </a:xfrm>
                    <a:prstGeom prst="rect">
                      <a:avLst/>
                    </a:prstGeom>
                  </pic:spPr>
                </pic:pic>
              </a:graphicData>
            </a:graphic>
          </wp:inline>
        </w:drawing>
      </w:r>
    </w:p>
    <w:p>
      <w:pPr>
        <w:pStyle w:val="Normal"/>
        <w:jc w:val="both"/>
        <w:rPr/>
      </w:pPr>
      <w:r>
        <w:rPr/>
        <w:t xml:space="preserve">Świadomie przedstawiam wartości wilgotności powietrza przy których rozpoczyna się rozwój pleśni i grzybów. Jest on bowiem zmorą starego budownictwa, gdzie przez niedogrzanie pomieszczeń oraz brak zapewnienia wentylacji często doprowadzano do zagrzybienia ścian. Jak wynika z rysunku powyżej za mała (poniżej 40%) i za duża wilgotność wpływa na środowisko jakie tworzymy w domu. </w:t>
      </w:r>
    </w:p>
    <w:p>
      <w:pPr>
        <w:pStyle w:val="Normal"/>
        <w:jc w:val="both"/>
        <w:rPr/>
      </w:pPr>
      <w:r>
        <w:rPr/>
        <w:t>Jako ciekawostkę warto wspomnieć, że w jednym odwirowanym już praniu, jest jeszcze około 6l wody która musi odparować, a rolą okapników nad kuchenką gazową nie jest tylko wychwycenie zapachów kuchennych, ale głównie służą one do wyłapania pary wodnej powstającej w procesie spalania gazu ziemnego i procesie gotowania.</w:t>
      </w:r>
    </w:p>
    <w:p>
      <w:pPr>
        <w:pStyle w:val="Normal"/>
        <w:jc w:val="both"/>
        <w:rPr/>
      </w:pPr>
      <w:r>
        <w:rPr/>
        <w:t>Często bywa, że suszymy odzieży na grzejnikach zaburzając cyrkulację powietrza i wprowadzając dodatkową wilgoć w pomieszczeniu. Dodatkowo zakrywanie kratek wentylacyjnych w kuchni i łazience powoduje, że wilgoć z pomieszczeń kumuluje się w ścianach, meblach i ubraniu.</w:t>
      </w:r>
    </w:p>
    <w:p>
      <w:pPr>
        <w:pStyle w:val="Normal"/>
        <w:jc w:val="both"/>
        <w:rPr/>
      </w:pPr>
      <w:r>
        <w:rPr/>
        <w:t>W ten sposób na własne życzenie doprowadzamy do tzw. syndromu chorego budynku.</w:t>
      </w:r>
    </w:p>
    <w:p>
      <w:pPr>
        <w:pStyle w:val="Normal"/>
        <w:jc w:val="both"/>
        <w:rPr/>
      </w:pPr>
      <w:r>
        <w:rPr/>
        <w:t>Jak widzimy wentylacja jest bardzo ważnym elementem, z którego nie możemy zrezygnować. Warto więc zadbać o właściwy dolot powietrza przez wywietrzniki okien i zadbać o drożność kanału wentylacyjnego. Jak jednak ograniczyć ucieczkę ciepła? System grawitacyjny jest niesterowalny, ale system wentylacji grawitacyjnej można wesprzeć wentylacją mechaniczną stosując przy kanałach wentylatory np. z regulacją automatyczną wykorzystując czujniki wilgotności albo czujnik tlenku węgla, który załącza system po przekroczeniu granic ustawionych dla danego typu pomieszczeń. Innym ciekawym rozwiązaniem są małe rekuperatory ścienne</w:t>
      </w:r>
      <w:r>
        <w:rPr>
          <w:rStyle w:val="Zakotwiczenieprzypisudolnego"/>
        </w:rPr>
        <w:footnoteReference w:id="5"/>
      </w:r>
      <w:r>
        <w:rPr/>
        <w:t xml:space="preserve">. Tam, w rurze wentylacyjnej przechodzącej przez ścianę znajduje się turbina wentylacyjna z wymiennikiem ciepła. W wymienniku zimne zewnętrzne powietrze ogrzewane jest z ciepłego powietrza wyrzucanego z pokoju. </w:t>
      </w:r>
    </w:p>
    <w:p>
      <w:pPr>
        <w:pStyle w:val="Normal"/>
        <w:jc w:val="both"/>
        <w:rPr>
          <w:b/>
          <w:b/>
        </w:rPr>
      </w:pPr>
      <w:r>
        <w:rPr>
          <w:b/>
        </w:rPr>
        <w:t>Modernizacja instalacji grzewczej i instalacji ciepłej wody użytkowej</w:t>
      </w:r>
    </w:p>
    <w:p>
      <w:pPr>
        <w:pStyle w:val="Normal"/>
        <w:jc w:val="both"/>
        <w:rPr/>
      </w:pPr>
      <w:r>
        <w:rPr/>
        <w:t>Ostatnim etapem prawidłowo przeprowadzonej termomodernizacji budynku powinna być modernizacja instalacji grzewczej, w tym demontaż starych urządzeń i montaż nowych, bardziej ekologicznych.</w:t>
      </w:r>
    </w:p>
    <w:p>
      <w:pPr>
        <w:pStyle w:val="Normal"/>
        <w:jc w:val="both"/>
        <w:rPr/>
      </w:pPr>
      <w:r>
        <w:rPr/>
        <w:t>Na sprawność systemu ogrzewania ma wpływ:</w:t>
      </w:r>
    </w:p>
    <w:p>
      <w:pPr>
        <w:pStyle w:val="Normal"/>
        <w:numPr>
          <w:ilvl w:val="0"/>
          <w:numId w:val="10"/>
        </w:numPr>
        <w:jc w:val="both"/>
        <w:rPr/>
      </w:pPr>
      <w:r>
        <w:rPr>
          <w:b/>
          <w:bCs/>
        </w:rPr>
        <w:t xml:space="preserve">Rodzaj źródła ciepła i sposób jego wykorzystania - </w:t>
      </w:r>
      <w:r>
        <w:rPr/>
        <w:t>źródło bezpośrednie np. kocioł  czy pośrednie np. węzeł cieplny wymiennikowy dla całego budynku, indywidualny czy grupowy, pracujące z pełnym obciążeniem albo jest niedociążone,</w:t>
      </w:r>
    </w:p>
    <w:p>
      <w:pPr>
        <w:pStyle w:val="Normal"/>
        <w:numPr>
          <w:ilvl w:val="0"/>
          <w:numId w:val="10"/>
        </w:numPr>
        <w:jc w:val="both"/>
        <w:rPr/>
      </w:pPr>
      <w:r>
        <w:rPr>
          <w:b/>
          <w:bCs/>
        </w:rPr>
        <w:t xml:space="preserve">Rodzaj i usytuowanie grzejników </w:t>
      </w:r>
      <w:r>
        <w:rPr/>
        <w:t xml:space="preserve">– żeliwne o dużej pojemności cieplnej lub stalowe o małej pojemności, osłonięte czy możliwy swobodny przepływ powietrza wokół grzejnika, </w:t>
      </w:r>
    </w:p>
    <w:p>
      <w:pPr>
        <w:pStyle w:val="Normal"/>
        <w:numPr>
          <w:ilvl w:val="0"/>
          <w:numId w:val="10"/>
        </w:numPr>
        <w:jc w:val="both"/>
        <w:rPr/>
      </w:pPr>
      <w:r>
        <w:rPr>
          <w:b/>
          <w:bCs/>
        </w:rPr>
        <w:t xml:space="preserve">Sposób regulacji i sterowania </w:t>
      </w:r>
      <w:r>
        <w:rPr/>
        <w:t>systemem ogrzewania – sterowanie centralne czy możliwość sterowania przez każdego użytkownika, ogrzewanie bez przerw czy z osłabieniem nocnym,</w:t>
      </w:r>
    </w:p>
    <w:p>
      <w:pPr>
        <w:pStyle w:val="Normal"/>
        <w:numPr>
          <w:ilvl w:val="0"/>
          <w:numId w:val="10"/>
        </w:numPr>
        <w:jc w:val="both"/>
        <w:rPr/>
      </w:pPr>
      <w:r>
        <w:rPr>
          <w:b/>
          <w:bCs/>
        </w:rPr>
        <w:t xml:space="preserve">Wielkość strat przy przesyle ciepła </w:t>
      </w:r>
      <w:r>
        <w:rPr/>
        <w:t>– czy w instalacji nie osadził się kamień, czy izolacja jest nie jest uszkodzona i posiada wystarczającą grubość.</w:t>
      </w:r>
    </w:p>
    <w:p>
      <w:pPr>
        <w:pStyle w:val="Normal"/>
        <w:rPr/>
      </w:pPr>
      <w:r>
        <w:rPr>
          <w:b/>
          <w:bCs/>
        </w:rPr>
        <w:t>Każdy</w:t>
      </w:r>
      <w:r>
        <w:rPr/>
        <w:t xml:space="preserve"> z elementów systemu ogrzewania źle dobrany lub źle eksploatowany </w:t>
      </w:r>
      <w:r>
        <w:rPr>
          <w:b/>
          <w:bCs/>
        </w:rPr>
        <w:t xml:space="preserve">może być źródłem </w:t>
      </w:r>
      <w:r>
        <w:rPr/>
        <w:t xml:space="preserve">strat ciepła, awarii, zmniejszenia sprawności całego układu. W konsekwencji może generować </w:t>
      </w:r>
      <w:r>
        <w:rPr>
          <w:b/>
          <w:bCs/>
        </w:rPr>
        <w:t>wyższe</w:t>
      </w:r>
      <w:r>
        <w:rPr/>
        <w:t xml:space="preserve"> niż przewidziane </w:t>
      </w:r>
      <w:r>
        <w:rPr>
          <w:b/>
          <w:bCs/>
        </w:rPr>
        <w:t xml:space="preserve">koszty ogrzewania </w:t>
      </w:r>
      <w:r>
        <w:rPr/>
        <w:t>budynku.</w:t>
      </w:r>
    </w:p>
    <w:p>
      <w:pPr>
        <w:pStyle w:val="Normal"/>
        <w:jc w:val="both"/>
        <w:rPr/>
      </w:pPr>
      <w:r>
        <w:rPr/>
        <w:t>Lista możliwych prac modernizacyjnych i usprawnień w systemie ogrzewania:</w:t>
      </w:r>
    </w:p>
    <w:p>
      <w:pPr>
        <w:pStyle w:val="Normal"/>
        <w:numPr>
          <w:ilvl w:val="0"/>
          <w:numId w:val="11"/>
        </w:numPr>
        <w:jc w:val="both"/>
        <w:rPr/>
      </w:pPr>
      <w:r>
        <w:rPr>
          <w:b/>
          <w:bCs/>
        </w:rPr>
        <w:t>Płukanie</w:t>
      </w:r>
      <w:r>
        <w:rPr/>
        <w:t xml:space="preserve"> chemiczne instalacji w celu usunięcia osadów ograniczających wymianę ciepła i drożność,</w:t>
      </w:r>
    </w:p>
    <w:p>
      <w:pPr>
        <w:pStyle w:val="Normal"/>
        <w:numPr>
          <w:ilvl w:val="0"/>
          <w:numId w:val="11"/>
        </w:numPr>
        <w:jc w:val="both"/>
        <w:rPr/>
      </w:pPr>
      <w:r>
        <w:rPr>
          <w:b/>
          <w:bCs/>
        </w:rPr>
        <w:t>Uszczelnianie</w:t>
      </w:r>
      <w:r>
        <w:rPr/>
        <w:t>, eliminacja ubytków wody z instalacji,</w:t>
      </w:r>
    </w:p>
    <w:p>
      <w:pPr>
        <w:pStyle w:val="Normal"/>
        <w:numPr>
          <w:ilvl w:val="0"/>
          <w:numId w:val="11"/>
        </w:numPr>
        <w:jc w:val="both"/>
        <w:rPr/>
      </w:pPr>
      <w:r>
        <w:rPr>
          <w:b/>
          <w:bCs/>
        </w:rPr>
        <w:t xml:space="preserve">Likwidacja centralnej instalacji odpowietrzającej </w:t>
      </w:r>
      <w:r>
        <w:rPr/>
        <w:t>i montaż automatycznych zaworów odpowietrzających w celu ograniczenia ubytków wody przez odparowania z otwartego naczynia zbiorczego i wyeliminowania krążenia wody między pionami,</w:t>
      </w:r>
    </w:p>
    <w:p>
      <w:pPr>
        <w:pStyle w:val="Normal"/>
        <w:numPr>
          <w:ilvl w:val="0"/>
          <w:numId w:val="11"/>
        </w:numPr>
        <w:jc w:val="both"/>
        <w:rPr/>
      </w:pPr>
      <w:r>
        <w:rPr>
          <w:b/>
          <w:bCs/>
        </w:rPr>
        <w:t>Izolowanie</w:t>
      </w:r>
      <w:r>
        <w:rPr/>
        <w:t xml:space="preserve"> lub naprawa izolacji przewodów i armatury zamontowanych </w:t>
        <w:br/>
        <w:t>w pomieszczeniach nieogrzewanych lub o niższej temperaturze (nie izolujemy pionów prowadzonych przez mieszkania) w celu ograniczenia strat ciepła,</w:t>
      </w:r>
    </w:p>
    <w:p>
      <w:pPr>
        <w:pStyle w:val="Normal"/>
        <w:numPr>
          <w:ilvl w:val="0"/>
          <w:numId w:val="11"/>
        </w:numPr>
        <w:jc w:val="both"/>
        <w:rPr/>
      </w:pPr>
      <w:r>
        <w:rPr>
          <w:b/>
          <w:bCs/>
        </w:rPr>
        <w:t xml:space="preserve">Montaż zaworów termostatycznych </w:t>
      </w:r>
      <w:r>
        <w:rPr/>
        <w:t xml:space="preserve">na wszystkich grzejnikach w celu umożliwienia użytkownikom dopasowania temperatury powietrza wewnętrznego do indywidualnych potrzeb i wykorzystania  zysków ciepła (zewnętrznych np. ze słońca i wewnętrznych np. od oświetlenia), </w:t>
      </w:r>
    </w:p>
    <w:p>
      <w:pPr>
        <w:pStyle w:val="Normal"/>
        <w:numPr>
          <w:ilvl w:val="0"/>
          <w:numId w:val="11"/>
        </w:numPr>
        <w:jc w:val="both"/>
        <w:rPr/>
      </w:pPr>
      <w:r>
        <w:rPr>
          <w:b/>
          <w:bCs/>
        </w:rPr>
        <w:t xml:space="preserve">Montaż podzielników kosztów ogrzewania </w:t>
      </w:r>
      <w:r>
        <w:rPr/>
        <w:t>w budynkach wielorodzinnych (nie ograniczają  zużycia ciepła w sposób bezpośredni, ale  poprzez pokazanie rzeczywistego zużycia ciepła przez poszczególne grzejniki zmieniają nawyki użytkowników i skłaniają do oszczędzania ciepła),</w:t>
      </w:r>
    </w:p>
    <w:p>
      <w:pPr>
        <w:pStyle w:val="Normal"/>
        <w:numPr>
          <w:ilvl w:val="0"/>
          <w:numId w:val="11"/>
        </w:numPr>
        <w:jc w:val="both"/>
        <w:rPr/>
      </w:pPr>
      <w:r>
        <w:rPr>
          <w:b/>
          <w:bCs/>
        </w:rPr>
        <w:t xml:space="preserve">Regulacja nastawcza </w:t>
      </w:r>
      <w:r>
        <w:rPr/>
        <w:t>instalacji i dostosowanie do zmniejszonych (na skutek ocieplenia budynku) potrzeb cieplnych,</w:t>
      </w:r>
    </w:p>
    <w:p>
      <w:pPr>
        <w:pStyle w:val="Normal"/>
        <w:numPr>
          <w:ilvl w:val="0"/>
          <w:numId w:val="11"/>
        </w:numPr>
        <w:jc w:val="both"/>
        <w:rPr/>
      </w:pPr>
      <w:r>
        <w:rPr>
          <w:b/>
          <w:bCs/>
        </w:rPr>
        <w:t xml:space="preserve">Zarządzanie energią </w:t>
      </w:r>
      <w:r>
        <w:rPr/>
        <w:t>w budynku.</w:t>
      </w:r>
    </w:p>
    <w:p>
      <w:pPr>
        <w:pStyle w:val="Normal"/>
        <w:jc w:val="both"/>
        <w:rPr/>
      </w:pPr>
      <w:r>
        <w:rPr/>
        <w:t xml:space="preserve">Sama zmiana parametrów pracy instalacji z wysokotemperaturowej np., 70stC na niskotemperaturowe np.35stC powoduje zmniejszenie strat na przesyle, leprze sprawności na kotle. Stare kotły mają sprawności rzędu 70% nowe rzędu 90%. Do tego jak udaje się jeszcze wykorzystać ciepło skraplania pary zawartej w spalinach – jak to ma miejsce przy kotłach kondensacyjnych, to dochodzimy do oszczędności rzędu 1/3 wartości początkowej. Ważne, że prócz zwiększenia sprawności dążono do jak najpełniejszego spalania węgla. Dzięki temu ilość czadu jest znacznie mniejsza niż w starych kotłach. </w:t>
      </w:r>
    </w:p>
    <w:p>
      <w:pPr>
        <w:pStyle w:val="Normal"/>
        <w:jc w:val="both"/>
        <w:rPr/>
      </w:pPr>
      <w:r>
        <w:rPr/>
        <w:t>Często zadawany pytaniem jest czy przy modernizacji pozostawić stare żeliwne grzejniki, czy zmienić na nowe np. płytowe. Nim niej wody w układzie tym układ jest bardziej sterowalny – to fakt. Nowość (w stosunku do starego układu) w postaci zaworów termostatycznych daje możliwość szybkiej reakcji na zmiany pogodowe, nasłonecznienia czy potrzeb użytkowników. Z drugiej strony stare układy z grzejnikami żeliwnymi to układ o dużej pojemności cieplnej. Do tego układ, który sprawdzał się przez dziesięciolecia. Prace w tym zakresie mogą podnieść sprawność całego układu, należy jednak dobrze przeanalizować zyski i straty.</w:t>
      </w:r>
    </w:p>
    <w:p>
      <w:pPr>
        <w:pStyle w:val="Normal"/>
        <w:jc w:val="both"/>
        <w:rPr/>
      </w:pPr>
      <w:r>
        <w:rPr/>
        <w:t>Warto wiedzieć, że to temperatura ścian, a nie powietrza, decyduje o komforcie cieplnym domu. Ściany stygną i ogrzewają się bardzo powoli – nawet kilka dni. Dlaczego warto palić stale – czyli dłużej (niekoniecznie bez przerwy), ale z mniejszą intensywnością. W ten sposób ściany nie wystygają i w domu zawsze będzie komfortowo ciepło. A co ważne zużycie opału będzie mniejsze.</w:t>
      </w:r>
    </w:p>
    <w:p>
      <w:pPr>
        <w:pStyle w:val="Normal"/>
        <w:jc w:val="both"/>
        <w:rPr/>
      </w:pPr>
      <w:r>
        <w:rPr/>
        <w:t>„</w:t>
      </w:r>
      <w:r>
        <w:rPr/>
        <w:t>Hajcując” przez kilka godzin nie odgrzejesz domu. Gdy tylko skończysz palić, zaraz zrobi się zimno – bo ściany są cały czas zimne. Skazujesz się na życie w lodówce, a co gorsza nie zaoszczędzisz wiele.</w:t>
      </w:r>
    </w:p>
    <w:p>
      <w:pPr>
        <w:pStyle w:val="Normal"/>
        <w:jc w:val="both"/>
        <w:rPr/>
      </w:pPr>
      <w:r>
        <w:rPr/>
        <w:t>Najbardziej komfortowe temperatury dla człowieka obejmują przedział od 21 do 25 stopni. Średnia temperatura pomieszczeń powinna wynosić od 18 do 22 stopni. W salonie jest to 20-22 stopnie, w sypialni i kuchni 16-18 stopni, a w łazience 22-24 stopnie.</w:t>
      </w:r>
    </w:p>
    <w:p>
      <w:pPr>
        <w:pStyle w:val="Normal"/>
        <w:jc w:val="both"/>
        <w:rPr/>
      </w:pPr>
      <w:r>
        <w:rPr/>
        <w:t>Żeby choć trochę zmniejszyć zużycie paliw i zarazem zaoszczędzić, należy obniżyć temperaturę w pomieszczeniach o 1-2 stopnie, w zależności od potrzeb. Najlepiej sprawdzić jaka temperatura nam najbardziej odpowiada i czy można nieco skręcić ogrzewanie.</w:t>
      </w:r>
    </w:p>
    <w:p>
      <w:pPr>
        <w:pStyle w:val="Normal"/>
        <w:jc w:val="both"/>
        <w:rPr/>
      </w:pPr>
      <w:r>
        <w:rPr/>
        <w:t>Oszczędzanie na ogrzewaniu nigdy nie jest łatwe! Każda regulacja temperatury w dół przynosi oszczędności, ale odbywa się kosztem komfortu mieszkańców. Z kolei podniesienie temperatury to nieuchronnie wyższe rachunki. Niestety, coś za coś!</w:t>
      </w:r>
    </w:p>
    <w:p>
      <w:pPr>
        <w:pStyle w:val="Normal"/>
        <w:jc w:val="both"/>
        <w:rPr/>
      </w:pPr>
      <w:r>
        <w:rPr/>
        <w:t>Sezon grzewczy trwa kilka miesięcy i warto wiedzieć, czy nasza ofiara polegająca na znoszeniu lekkiego chłodu w mieszkaniu przyniesie satysfakcjonujący efekt, w postaci niższych rachunków? Czy może nie warto znosić tych niedogodności i ustawić komfortową temperaturę?</w:t>
      </w:r>
    </w:p>
    <w:p>
      <w:pPr>
        <w:pStyle w:val="Normal"/>
        <w:jc w:val="both"/>
        <w:rPr>
          <w:b/>
          <w:b/>
        </w:rPr>
      </w:pPr>
      <w:r>
        <w:rPr/>
        <w:t>Obniżenie temperatury w mieszkaniu o 1 stopień = 5% oszczędności</w:t>
      </w:r>
      <w:r>
        <w:rPr>
          <w:rStyle w:val="Zakotwiczenieprzypisudolnego"/>
          <w:b/>
        </w:rPr>
        <w:footnoteReference w:id="6"/>
      </w:r>
    </w:p>
    <w:p>
      <w:pPr>
        <w:pStyle w:val="Normal"/>
        <w:jc w:val="both"/>
        <w:rPr/>
      </w:pPr>
      <w:r>
        <w:rPr/>
        <w:t>Dzieje się tak wtedy i tylko wtedy, gdy różnica temperatur między wnętrzem mieszkania a otoczeniem będzie wynosić 20 stopni, a my postanowimy zmniejszyć ją do 19 stopni. Wtedy oszczędności wyniosą 5%. Bez względu na to ile zaoszczędzimy faktycznie – obniżenie temperatury przyniesie wymierne efekty.</w:t>
      </w:r>
    </w:p>
    <w:p>
      <w:pPr>
        <w:pStyle w:val="Normal"/>
        <w:jc w:val="both"/>
        <w:rPr/>
      </w:pPr>
      <w:r>
        <w:rPr/>
        <w:t>Obniżenie przedziału komfortu cieplnego możemy dokonać gdy zaczniemy hartować nasz organizm, aby był bardziej odporny na niskie temperatury i problemy z ogrzewaniem zimą. Wystarczy tylko brać chłodniejsze prysznice, polewając się wodą od dołu do góry, od stóp do głowy, obkurczając naczynia krwionośne, pobudzając układ krążenia i polepszając samopoczucie.</w:t>
      </w:r>
    </w:p>
    <w:p>
      <w:pPr>
        <w:pStyle w:val="Normal"/>
        <w:spacing w:before="0" w:after="0"/>
        <w:jc w:val="both"/>
        <w:rPr/>
      </w:pPr>
      <w:r>
        <w:rPr/>
        <w:t>Odrębną kwestią jest modernizacja instalację ciepłej wody użytkowej. Główne działania by obniżyć zużycia energii na przygotowania ciepłej wody użytkowej to:</w:t>
      </w:r>
    </w:p>
    <w:p>
      <w:pPr>
        <w:pStyle w:val="Normal"/>
        <w:numPr>
          <w:ilvl w:val="0"/>
          <w:numId w:val="8"/>
        </w:numPr>
        <w:spacing w:before="0" w:after="0"/>
        <w:jc w:val="both"/>
        <w:rPr/>
      </w:pPr>
      <w:r>
        <w:rPr>
          <w:bCs/>
        </w:rPr>
        <w:t>Zastosowanie perlatora – 50 % oszczędności;</w:t>
      </w:r>
    </w:p>
    <w:p>
      <w:pPr>
        <w:pStyle w:val="Normal"/>
        <w:numPr>
          <w:ilvl w:val="0"/>
          <w:numId w:val="8"/>
        </w:numPr>
        <w:spacing w:before="0" w:after="0"/>
        <w:jc w:val="both"/>
        <w:rPr/>
      </w:pPr>
      <w:r>
        <w:rPr>
          <w:bCs/>
        </w:rPr>
        <w:t>Likwidacja przecieków – 10-20 %</w:t>
      </w:r>
    </w:p>
    <w:p>
      <w:pPr>
        <w:pStyle w:val="Normal"/>
        <w:numPr>
          <w:ilvl w:val="0"/>
          <w:numId w:val="8"/>
        </w:numPr>
        <w:spacing w:before="0" w:after="0"/>
        <w:jc w:val="both"/>
        <w:rPr/>
      </w:pPr>
      <w:r>
        <w:rPr>
          <w:bCs/>
        </w:rPr>
        <w:t>Prysznic zamiast wanny – 60-70 %</w:t>
      </w:r>
    </w:p>
    <w:p>
      <w:pPr>
        <w:pStyle w:val="Normal"/>
        <w:numPr>
          <w:ilvl w:val="0"/>
          <w:numId w:val="8"/>
        </w:numPr>
        <w:spacing w:before="0" w:after="0"/>
        <w:jc w:val="both"/>
        <w:rPr/>
      </w:pPr>
      <w:r>
        <w:rPr>
          <w:bCs/>
        </w:rPr>
        <w:t>Bateria z mieszaczem – 25 %</w:t>
      </w:r>
    </w:p>
    <w:p>
      <w:pPr>
        <w:pStyle w:val="Normal"/>
        <w:numPr>
          <w:ilvl w:val="0"/>
          <w:numId w:val="8"/>
        </w:numPr>
        <w:spacing w:before="0" w:after="0"/>
        <w:jc w:val="both"/>
        <w:rPr/>
      </w:pPr>
      <w:r>
        <w:rPr>
          <w:bCs/>
        </w:rPr>
        <w:t>Bateria z termostatem – 50%</w:t>
      </w:r>
    </w:p>
    <w:p>
      <w:pPr>
        <w:pStyle w:val="Normal"/>
        <w:numPr>
          <w:ilvl w:val="0"/>
          <w:numId w:val="8"/>
        </w:numPr>
        <w:spacing w:before="0" w:after="0"/>
        <w:jc w:val="both"/>
        <w:rPr/>
      </w:pPr>
      <w:r>
        <w:rPr>
          <w:bCs/>
        </w:rPr>
        <w:t>Baterie bezdotykowe: 60%.</w:t>
      </w:r>
    </w:p>
    <w:p>
      <w:pPr>
        <w:pStyle w:val="Normal"/>
        <w:numPr>
          <w:ilvl w:val="0"/>
          <w:numId w:val="8"/>
        </w:numPr>
        <w:spacing w:before="0" w:after="0"/>
        <w:jc w:val="both"/>
        <w:rPr/>
      </w:pPr>
      <w:r>
        <w:rPr>
          <w:bCs/>
        </w:rPr>
        <w:t xml:space="preserve">Prawidłowe nawyki domowe – 50 % </w:t>
      </w:r>
      <w:r>
        <w:rPr/>
        <w:t>(z</w:t>
      </w:r>
      <w:r>
        <w:rPr>
          <w:i/>
          <w:iCs/>
        </w:rPr>
        <w:t>mywanie naczyń</w:t>
      </w:r>
      <w:r>
        <w:rPr/>
        <w:t>, t</w:t>
      </w:r>
      <w:r>
        <w:rPr>
          <w:i/>
          <w:iCs/>
        </w:rPr>
        <w:t>oaleta codzienna)</w:t>
      </w:r>
    </w:p>
    <w:p>
      <w:pPr>
        <w:pStyle w:val="Normal"/>
        <w:numPr>
          <w:ilvl w:val="0"/>
          <w:numId w:val="8"/>
        </w:numPr>
        <w:spacing w:before="0" w:after="0"/>
        <w:jc w:val="both"/>
        <w:rPr/>
      </w:pPr>
      <w:r>
        <w:rPr>
          <w:bCs/>
        </w:rPr>
        <w:t>Prawidłowa temperatura wody w zasobniku – 30 %</w:t>
      </w:r>
    </w:p>
    <w:p>
      <w:pPr>
        <w:pStyle w:val="Normal"/>
        <w:numPr>
          <w:ilvl w:val="0"/>
          <w:numId w:val="8"/>
        </w:numPr>
        <w:spacing w:before="0" w:after="0"/>
        <w:jc w:val="both"/>
        <w:rPr/>
      </w:pPr>
      <w:r>
        <w:rPr>
          <w:bCs/>
        </w:rPr>
        <w:t>Zmiana taryfy elektrycznej – 30 %</w:t>
      </w:r>
    </w:p>
    <w:p>
      <w:pPr>
        <w:pStyle w:val="Normal"/>
        <w:numPr>
          <w:ilvl w:val="0"/>
          <w:numId w:val="9"/>
        </w:numPr>
        <w:spacing w:before="0" w:after="0"/>
        <w:jc w:val="both"/>
        <w:rPr/>
      </w:pPr>
      <w:r>
        <w:rPr>
          <w:bCs/>
        </w:rPr>
        <w:t>Stosowanie pompy cyrkulacyjnej (przy rozległych instalacjach).</w:t>
      </w:r>
    </w:p>
    <w:p>
      <w:pPr>
        <w:pStyle w:val="Normal"/>
        <w:numPr>
          <w:ilvl w:val="0"/>
          <w:numId w:val="9"/>
        </w:numPr>
        <w:spacing w:before="0" w:after="0"/>
        <w:jc w:val="both"/>
        <w:rPr/>
      </w:pPr>
      <w:r>
        <w:rPr>
          <w:bCs/>
        </w:rPr>
        <w:t>Ograniczenie nocne temperatury dla cwu.</w:t>
      </w:r>
    </w:p>
    <w:p>
      <w:pPr>
        <w:pStyle w:val="Normal"/>
        <w:spacing w:before="0" w:after="0"/>
        <w:jc w:val="both"/>
        <w:rPr/>
      </w:pPr>
      <w:r>
        <w:rPr/>
      </w:r>
    </w:p>
    <w:p>
      <w:pPr>
        <w:pStyle w:val="Normal"/>
        <w:jc w:val="both"/>
        <w:rPr>
          <w:b/>
          <w:b/>
        </w:rPr>
      </w:pPr>
      <w:r>
        <w:rPr>
          <w:b/>
        </w:rPr>
        <w:t xml:space="preserve">Wymiana źródła ciepła </w:t>
      </w:r>
    </w:p>
    <w:p>
      <w:pPr>
        <w:pStyle w:val="Normal"/>
        <w:jc w:val="both"/>
        <w:rPr/>
      </w:pPr>
      <w:r>
        <w:rPr/>
        <w:t>Parametry eksploatacyjne i emisyjne analizowanych źródeł ciepła</w:t>
      </w:r>
      <w:r>
        <w:rPr>
          <w:rStyle w:val="Zakotwiczenieprzypisudolnego"/>
        </w:rPr>
        <w:footnoteReference w:id="7"/>
      </w:r>
      <w:r>
        <w:rPr/>
        <w:t xml:space="preserve"> przedstawia poniższa tabela.</w:t>
      </w:r>
    </w:p>
    <w:p>
      <w:pPr>
        <w:pStyle w:val="Normal"/>
        <w:jc w:val="both"/>
        <w:rPr/>
      </w:pPr>
      <w:r>
        <w:rPr/>
        <w:drawing>
          <wp:inline distT="0" distB="0" distL="0" distR="0">
            <wp:extent cx="5760720" cy="2239010"/>
            <wp:effectExtent l="0" t="0" r="0" b="0"/>
            <wp:docPr id="6" name="Obraz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Obraz 2" descr=""/>
                    <pic:cNvPicPr>
                      <a:picLocks noChangeAspect="1" noChangeArrowheads="1"/>
                    </pic:cNvPicPr>
                  </pic:nvPicPr>
                  <pic:blipFill>
                    <a:blip r:embed="rId7"/>
                    <a:stretch>
                      <a:fillRect/>
                    </a:stretch>
                  </pic:blipFill>
                  <pic:spPr bwMode="auto">
                    <a:xfrm>
                      <a:off x="0" y="0"/>
                      <a:ext cx="5760720" cy="2239010"/>
                    </a:xfrm>
                    <a:prstGeom prst="rect">
                      <a:avLst/>
                    </a:prstGeom>
                  </pic:spPr>
                </pic:pic>
              </a:graphicData>
            </a:graphic>
          </wp:inline>
        </w:drawing>
      </w:r>
    </w:p>
    <w:p>
      <w:pPr>
        <w:pStyle w:val="Normal"/>
        <w:jc w:val="both"/>
        <w:rPr/>
      </w:pPr>
      <w:r>
        <w:rPr/>
        <w:t xml:space="preserve">Nie trzeba fachowców by określić że spalanie węgla wprowadza do atmosfery najwięcej zanieczyszczeń, a najczystszym z kopalnych źródeł kopalnych jest gaz ziemny. Przedstawione koszty paliwa aktualne w 2015 r, dzisiaj totalnie jest inny niż w tabelce powyżej. Niemniej widzimy że koszty ogrzewania węglem czy biomasą są prawie 2x większe dla gazu od kosztów opalania paliwami stałymi. Ogrzewanie pompą ciepłą której zużycie 1MW energii elektrycznej powoduje produkcję 3 - 4,5 MW energii cieplnej nie powoduje niskiej emisji (tylko pośrednio emisję wysoką) zanieczyszczeń, a koszty eksploatacji były podobne jak koszty ogrzewania węglem. Zmiana źródła ciepła jest najefektywniejszą metodą ograniczenia niskiej emisji. </w:t>
      </w:r>
    </w:p>
    <w:p>
      <w:pPr>
        <w:pStyle w:val="Normal"/>
        <w:jc w:val="both"/>
        <w:rPr/>
      </w:pPr>
      <w:r>
        <w:rPr/>
        <w:t xml:space="preserve">Co jednak w sytuacji gdy mamy dostępu do innego źródła ciepła, albo kosztu zmiany nie jesteśmy w stanie udźwignąć? Bardzo często za złą jakość powietrza nie odpowiada złej jakości paliwo czy starszej generacji kocioł, ale metoda palenia. Zmieniając sposób rozpalania z dolnego na górny, zużycie opału spadnie, a sam proces spalania będzie przebiegać bardziej ekologicznie. </w:t>
      </w:r>
      <w:r>
        <w:rPr>
          <w:rStyle w:val="Strong"/>
        </w:rPr>
        <w:t>Jak palić w kotle</w:t>
      </w:r>
      <w:r>
        <w:rPr/>
        <w:t>, by ograniczyć powstawanie dymu?</w:t>
      </w:r>
      <w:r>
        <w:rPr>
          <w:rStyle w:val="Zakotwiczenieprzypisudolnego"/>
        </w:rPr>
        <w:footnoteReference w:id="8"/>
      </w:r>
      <w:r>
        <w:rPr/>
        <w:t xml:space="preserve"> Aby klasyczne </w:t>
      </w:r>
      <w:r>
        <w:rPr>
          <w:rStyle w:val="Strong"/>
        </w:rPr>
        <w:t>palenie w kotle dolnego spalania</w:t>
      </w:r>
      <w:r>
        <w:rPr/>
        <w:t xml:space="preserve"> stało się nieco bardziej przyjazne dla środowiska, można dokładać węgiel do kotła mniejszymi partiami. Porcja powinna być na tyle mała, by po jej dorzuceniu w kotle ciągle pozostawał ogień. Zasada w tym wypadku jest bardzo prosta: im więcej żaru znajduje się na ruszcie, tym więcej można jednorazowo dołożyć opału.</w:t>
      </w:r>
    </w:p>
    <w:p>
      <w:pPr>
        <w:pStyle w:val="Normal"/>
        <w:jc w:val="both"/>
        <w:rPr/>
      </w:pPr>
      <w:r>
        <w:rPr/>
        <w:drawing>
          <wp:inline distT="0" distB="0" distL="0" distR="0">
            <wp:extent cx="4870450" cy="2002790"/>
            <wp:effectExtent l="0" t="0" r="0" b="0"/>
            <wp:docPr id="7" name="Obraz 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Obraz 6" descr=""/>
                    <pic:cNvPicPr>
                      <a:picLocks noChangeAspect="1" noChangeArrowheads="1"/>
                    </pic:cNvPicPr>
                  </pic:nvPicPr>
                  <pic:blipFill>
                    <a:blip r:embed="rId8"/>
                    <a:stretch>
                      <a:fillRect/>
                    </a:stretch>
                  </pic:blipFill>
                  <pic:spPr bwMode="auto">
                    <a:xfrm>
                      <a:off x="0" y="0"/>
                      <a:ext cx="4870450" cy="2002790"/>
                    </a:xfrm>
                    <a:prstGeom prst="rect">
                      <a:avLst/>
                    </a:prstGeom>
                  </pic:spPr>
                </pic:pic>
              </a:graphicData>
            </a:graphic>
          </wp:inline>
        </w:drawing>
      </w:r>
      <w:r>
        <w:rPr>
          <w:rStyle w:val="Zakotwiczenieprzypisudolnego"/>
        </w:rPr>
        <w:footnoteReference w:id="9"/>
      </w:r>
    </w:p>
    <w:p>
      <w:pPr>
        <w:pStyle w:val="NormalWeb"/>
        <w:spacing w:before="280" w:after="280"/>
        <w:rPr>
          <w:rFonts w:ascii="Calibri" w:hAnsi="Calibri" w:eastAsia="Calibri" w:cs="" w:asciiTheme="minorHAnsi" w:cstheme="minorBidi" w:eastAsiaTheme="minorHAnsi" w:hAnsiTheme="minorHAnsi"/>
          <w:sz w:val="22"/>
          <w:szCs w:val="22"/>
          <w:lang w:eastAsia="en-US"/>
        </w:rPr>
      </w:pPr>
      <w:r>
        <w:rPr>
          <w:rFonts w:eastAsia="Calibri" w:cs="" w:ascii="Calibri" w:hAnsi="Calibri" w:asciiTheme="minorHAnsi" w:cstheme="minorBidi" w:eastAsiaTheme="minorHAnsi" w:hAnsiTheme="minorHAnsi"/>
          <w:sz w:val="22"/>
          <w:szCs w:val="22"/>
          <w:lang w:eastAsia="en-US"/>
        </w:rPr>
        <w:t xml:space="preserve">Zdecydowanie najczystszą alternatywą dla tradycyjnego sposobu palenia jest rozpalanie od góry. Palić od góry można w każdym urządzeniu, które ma wlot powietrza pod ruszt, a wylot spalin u góry paleniska. Aby rozpocząć </w:t>
      </w:r>
      <w:r>
        <w:rPr>
          <w:rFonts w:eastAsia="Calibri" w:cs="" w:ascii="Calibri" w:hAnsi="Calibri" w:asciiTheme="minorHAnsi" w:cstheme="minorBidi" w:eastAsiaTheme="minorHAnsi" w:hAnsiTheme="minorHAnsi"/>
          <w:b/>
          <w:bCs/>
          <w:sz w:val="22"/>
          <w:szCs w:val="22"/>
          <w:lang w:eastAsia="en-US"/>
        </w:rPr>
        <w:t>palenie w piecu</w:t>
      </w:r>
      <w:r>
        <w:rPr>
          <w:rFonts w:eastAsia="Calibri" w:cs="" w:ascii="Calibri" w:hAnsi="Calibri" w:asciiTheme="minorHAnsi" w:cstheme="minorBidi" w:eastAsiaTheme="minorHAnsi" w:hAnsiTheme="minorHAnsi"/>
          <w:sz w:val="22"/>
          <w:szCs w:val="22"/>
          <w:lang w:eastAsia="en-US"/>
        </w:rPr>
        <w:t xml:space="preserve"> od góry, należy uzupełnić palenisko węglem, na nim ułożyć drewno, a na samej górze rozpałkę. Przy takim układzie powietrze wciąż ulatuje ku górze, a żar schodzi ku dołowi, ale dym, który ulatnia się z warstwy zimnego opału, ulega prawie w całości spaleniu. Dzięki temu do komina dostają się prawie przezroczyste spaliny, a zamiast dymu produkowana jest większa ilość ciepła.</w:t>
      </w:r>
    </w:p>
    <w:p>
      <w:pPr>
        <w:pStyle w:val="NormalWeb"/>
        <w:spacing w:before="280" w:after="280"/>
        <w:rPr>
          <w:rFonts w:ascii="Calibri" w:hAnsi="Calibri" w:eastAsia="Calibri" w:cs="" w:asciiTheme="minorHAnsi" w:cstheme="minorBidi" w:eastAsiaTheme="minorHAnsi" w:hAnsiTheme="minorHAnsi"/>
          <w:sz w:val="22"/>
          <w:szCs w:val="22"/>
          <w:lang w:eastAsia="en-US"/>
        </w:rPr>
      </w:pPr>
      <w:r>
        <w:rPr>
          <w:rFonts w:eastAsia="Calibri" w:cs="" w:ascii="Calibri" w:hAnsi="Calibri" w:asciiTheme="minorHAnsi" w:cstheme="minorBidi" w:eastAsiaTheme="minorHAnsi" w:hAnsiTheme="minorHAnsi"/>
          <w:sz w:val="22"/>
          <w:szCs w:val="22"/>
          <w:lang w:eastAsia="en-US"/>
        </w:rPr>
        <w:t>Palenie od góry to proces cykliczny. Nie ma możliwości dokładania paliwa, aż do momentu całkowitego wypalenia opału. Kiedy to nastąpi, wszystkie czynności związane z rozpalaniem trzeba powtórzyć od nowa.</w:t>
      </w:r>
    </w:p>
    <w:p>
      <w:pPr>
        <w:pStyle w:val="Normal"/>
        <w:jc w:val="both"/>
        <w:rPr>
          <w:b/>
          <w:b/>
        </w:rPr>
      </w:pPr>
      <w:r>
        <w:rPr>
          <w:b/>
        </w:rPr>
        <w:t>Instalacja wykorzystująca odnawialne źródła energii</w:t>
      </w:r>
    </w:p>
    <w:p>
      <w:pPr>
        <w:pStyle w:val="Normal"/>
        <w:rPr/>
      </w:pPr>
      <w:r>
        <w:rPr/>
        <w:t>Kolejnym sposobem ograniczenia niskiej emisji jest wykorzystanie źródeł energii gromadzonej na bieżąco w przyrodzie np. magazynowanie węgla w roślinach (tworzenie biomasy) lub czerpanie z energii Słońca (np. promieniowanie, ruch wiatru, wody) czy ciepła ziemi (geotermii).</w:t>
      </w:r>
    </w:p>
    <w:p>
      <w:pPr>
        <w:pStyle w:val="Normal"/>
        <w:rPr/>
      </w:pPr>
      <w:r>
        <w:rPr/>
        <w:t>Jak wspomniałem produkcja energii elektrycznej nie powoduje niskiej emisji tylko emisję powyżej 40m. Dlatego instalacje wykorzystującą odnawialne źródła energii (OZE) nastawione na produkcję prądu elektrycznego typu ogniwa fotowoltaiczne czy turbiny wiatrowe można pominąć. I teraz mam dylemat, bo z instalacji wykorzystujących OZE, które można wykorzystać w warunkach domowych i które mogą ograniczyć niską emisję mamy tylko kotły na biomasę i kolektory słoneczne. Ze względu na to, że niektórzy włączają do instalacji wykorzystujących OZE również pompy ciepła (choć nie wiem czemu), omówimy również te instalacje.</w:t>
      </w:r>
    </w:p>
    <w:p>
      <w:pPr>
        <w:pStyle w:val="Normal"/>
        <w:rPr>
          <w:b/>
          <w:b/>
        </w:rPr>
      </w:pPr>
      <w:r>
        <w:rPr>
          <w:b/>
        </w:rPr>
        <w:t>Instalacja na biomasę.</w:t>
      </w:r>
    </w:p>
    <w:p>
      <w:pPr>
        <w:pStyle w:val="Normal"/>
        <w:rPr/>
      </w:pPr>
      <w:r>
        <w:rPr/>
        <w:t>Do ogrzewania domów wykorzystujemy głównie drewno w postaci polan lub peletów. Instalacje grzewcze to oczywiście kotły, kozy czy kominki.</w:t>
      </w:r>
    </w:p>
    <w:p>
      <w:pPr>
        <w:pStyle w:val="Normal"/>
        <w:rPr/>
      </w:pPr>
      <w:r>
        <w:rPr/>
        <w:t>Spalanie biomasy nie powoduje dodatkowej emisji dwutlenku węgla, ponieważ ilość generowanego gazu jest mniej więcej równa tej, która jest pobierana przez rośliny w procesie fotosyntezy. Jak przeanalizowaliśmy tabelę w której prezentowane są wyniki zanieczyszczeń emitowanych w wyniku spalania węgla to okazuje się, że spalanie biomasy zamiast węgla ograniczy emisję pyłów prawie 3 razy, natomiast emisję SO</w:t>
      </w:r>
      <w:r>
        <w:rPr>
          <w:vertAlign w:val="subscript"/>
        </w:rPr>
        <w:t>X</w:t>
      </w:r>
      <w:r>
        <w:rPr/>
        <w:t xml:space="preserve"> zmniejszymy nawet 20 razy. Niewątpliwą wadą tego źródła jest jego kaloryczność, która powoduje, że znacznie więcej musimy miejsca przeznaczyć na magazyn biomasy, niż w przypadku węgla. </w:t>
      </w:r>
    </w:p>
    <w:p>
      <w:pPr>
        <w:pStyle w:val="Normal"/>
        <w:rPr/>
      </w:pPr>
      <w:r>
        <w:rPr/>
        <w:t>Warto jednak zwrócić uwagę, że drewno opałowe, którym palimy w piecach lub kominkach, powinno spełniać określone wymogi</w:t>
      </w:r>
      <w:r>
        <w:rPr>
          <w:rStyle w:val="Zakotwiczenieprzypisudolnego"/>
        </w:rPr>
        <w:footnoteReference w:id="10"/>
      </w:r>
      <w:r>
        <w:rPr/>
        <w:t>. Przede wszystkim spalanie mokrego drewna prowadzi do osadzania się sadzy i smoły w przewodach kominowych i samym kominku czy piecu. Opał jeśli jest zbyt wilgotny, to może mieć nawet dwukrotnie mniejszą kaloryczność od odpowiednio przygotowanego. Naturalne sezonowanie jest skuteczne jednak czasochłonne. Takie rozwiązanie wymaga, aby drewno leżało w odpowiednim miejscu kilka lub nawet kilkanaście miesięcy. Dokładnie uzależnione jest to od gatunku drewna, czy wielkości szczap. Susząc drewno samodzielnie musimy zapewnić sobie miejsce na jego przechowywanie przez nawet dwa lata.</w:t>
      </w:r>
    </w:p>
    <w:p>
      <w:pPr>
        <w:pStyle w:val="Normal"/>
        <w:rPr/>
      </w:pPr>
      <w:r>
        <w:rPr/>
        <w:t>Za wartość graniczną uznaje się 20% wilgotności. Jeśli drewno w pomiarach uzyskuje wilgotność na tym poziomie, to zaleca się, aby było sezonowane jeszcze przez kilka kolejnych miesięcy. Poziom wilgotności drewna mierzy się z wykorzystaniem tzw. wilgotnościomierza. Jeśli jednak go nie mamy to warto sprawdzać inne parametry drewna lub zwrócić się do specjalnej firmy o sprawdzenie wilgotności. Co ciekawe jej poziom 23-25% poczujemy już w czasie dotyku ręką. Od razu zauważymy, że drewno jest mokre. Dodatkowym wyznacznikiem może być to, że nadmienienie mokre drewno w czasie spalania będzie skrzypieć i gwizdać.</w:t>
      </w:r>
    </w:p>
    <w:p>
      <w:pPr>
        <w:pStyle w:val="Normal"/>
        <w:rPr>
          <w:b/>
          <w:b/>
        </w:rPr>
      </w:pPr>
      <w:r>
        <w:rPr>
          <w:b/>
        </w:rPr>
        <w:t>Kolektory słoneczne</w:t>
      </w:r>
    </w:p>
    <w:p>
      <w:pPr>
        <w:pStyle w:val="Normal"/>
        <w:rPr/>
      </w:pPr>
      <w:r>
        <w:rPr/>
        <w:t xml:space="preserve">Warto wspomnieć, że kolektory słoneczne są często mylone z ogniwami fotowoltaicznymi. Zasada działania poszczególnych urządzeń jest całkowicie inna. Kolektory słoneczne (potocznie zwane solarami) przekazują energię słoneczną w postaci ciepła do układów grzewczych. Z kolei panele fotowoltaiczne pozwalają na wytworzenie czystej energii elektrycznej. Uzyskana energia elektryczna może być wykorzystana do dowolnych celów. </w:t>
      </w:r>
    </w:p>
    <w:p>
      <w:pPr>
        <w:pStyle w:val="Normal"/>
        <w:rPr/>
      </w:pPr>
      <w:r>
        <w:rPr/>
        <w:t>Warto zwrócić uwagę, że kolektory słoneczne mogą jedynie wspomagać układ ogrzewania. Dodatkowo, przez to że na produkcję ciepła nie bardzo możemy liczyć w okresie zimowym (słońce krótko i mało dni niezachmurzonych), kolektory słoneczne dobierane są raczej do wspomagania grzania wody użytkowej. Ich sprawność przemiany energii wpływającej do kolektora w stosunku do zakumulowanej energii cieplnej wynosi ok 60%. Jeżeli porównamy ją ze sprawnością ogniw fotowoltaicznych (6-20%) to nie bardzo widzę uzasadnienie stosowania takich rozwiązań.</w:t>
      </w:r>
    </w:p>
    <w:p>
      <w:pPr>
        <w:pStyle w:val="Normal"/>
        <w:rPr>
          <w:b/>
          <w:b/>
        </w:rPr>
      </w:pPr>
      <w:r>
        <w:rPr>
          <w:b/>
        </w:rPr>
        <w:t>Ogniwa fotowoltaiczne</w:t>
      </w:r>
    </w:p>
    <w:p>
      <w:pPr>
        <w:pStyle w:val="Normal"/>
        <w:rPr/>
      </w:pPr>
      <w:r>
        <w:rPr/>
        <w:t>Cały proces zachodzi za sprawą znajdującego się w ogniwie fotowoltaicznym półprzewodnika, którym obecnie najczęściej jest krzem. Elektrony tego pierwiastka reagują ze strumieniem światła słonecznego (a konkretnie – strumieniem fotonów) i zostają wprawione w ruch. Zaczynają przemieszczać się między elektrodami znajdującymi się w ogniwie, co generuje różnicę potencjałów, czyli napięcie elektryczne.</w:t>
      </w:r>
    </w:p>
    <w:p>
      <w:pPr>
        <w:pStyle w:val="Normal"/>
        <w:rPr/>
      </w:pPr>
      <w:r>
        <w:rPr/>
        <w:t>Co istotne, prąd powstający w wyniku tych przemian, to prąd stały (DC), który bezpośrednio nie nadaje się do zasilania urządzeń elektrycznych. Dlatego też, energia jest transportowana przewodami do inwertera (falownika), który przetwarza go na prąd zmienny (AC), który znajdziemy w naszych gniazdkach.</w:t>
      </w:r>
    </w:p>
    <w:p>
      <w:pPr>
        <w:pStyle w:val="Normal"/>
        <w:rPr/>
      </w:pPr>
      <w:r>
        <w:rPr/>
        <w:t xml:space="preserve">Energia wytwarzana jest przez panele po przejściu przez inwerter, trafia do domowych urządzeń. </w:t>
      </w:r>
    </w:p>
    <w:p>
      <w:pPr>
        <w:pStyle w:val="Normal"/>
        <w:rPr/>
      </w:pPr>
      <w:r>
        <w:rPr/>
        <w:t>Jak produkcja prądu z paneli może wpłynąć na ograniczenie niskiej emisji? Systemy ogrzewania podłogowego, ogrzewanie na podczerwień (maty grzewcze) czy standardowe ogrzewanie na prąd mogą być zasilane prądem produkowanym przez instalację fotowoltaiczną, o ile zapotrzebowanie energetyczne danego gospodarstwa domowego zostanie we właściwy sposób oszacowane. Co więcej – by wykorzystać prąd do celów grzewczych, nie trzeba go przemieniać na prąd stały i koszty inwertera mogą być pominięte. Kłopot jednak w tym, że zapotrzebowanie na ogrzewanie mamy zwłaszcza w tedy gdy ilość promieni słonecznych jest znikoma (zimą nasłonecznienie jest 10 razy mniejsze niż latem), a magazynować w sposób efektywny i tani prąd jeszcze nie potrafimy.</w:t>
      </w:r>
    </w:p>
    <w:p>
      <w:pPr>
        <w:pStyle w:val="Normal"/>
        <w:rPr>
          <w:b/>
          <w:b/>
        </w:rPr>
      </w:pPr>
      <w:r>
        <w:rPr>
          <w:b/>
        </w:rPr>
        <w:t>Pompa ciepła</w:t>
      </w:r>
    </w:p>
    <w:p>
      <w:pPr>
        <w:pStyle w:val="Normal"/>
        <w:rPr/>
      </w:pPr>
      <w:r>
        <w:rPr/>
        <w:t xml:space="preserve">Śmiem twierdzić, że każdy z Państwa (czytających ten artykuł) ma pompę ciepłą w swoim domu. Swoistą bowiem pompą ciepła stosowana praktycznie w każdym domu lodówka. Jak przyjrzymy się bliżej temu urządzeniu, to zauważymy, że urządzenie jedną przestrzeń chłodzą (wnętrze lodówki), a inną grzeją. Tak samo realizowane jest przez pompę ciepłą która pobiera ciepło z powietrza zewnętrznego, gruntu lub wody i przekazuje je do pomieszczenia. </w:t>
      </w:r>
    </w:p>
    <w:p>
      <w:pPr>
        <w:pStyle w:val="Normal"/>
        <w:jc w:val="both"/>
        <w:rPr/>
      </w:pPr>
      <w:r>
        <w:rPr/>
        <w:t>Czynnik roboczy w postaci mieszaniny cieczy i gazu trafia w pierwszej kolejności do parownika, w którym ulega procesowi odparowania. W ten sposób dochodzi do odebrania energii z dolnego źródła, czyli gruntu/powietrza/wody. Następnie zostaje on zassany w postaci pary do sprężarki, gdzie jego temperatura i ciśnienie wzrasta. W dalszej kolejności trafia on (w postaci gazowej) do skraplacza i oddaje energię do źródła górnego (np. podłogówki). W tym momencie dochodzi do jego skroplenia. Ostatnim elementem zamykającym obieg jest zawór rozprężny, który redukuje ciśnienie i temperaturę czynnika roboczego. Na koniec wraca on z powrotem do gruntu i odzyskuje utraconą energię.</w:t>
      </w:r>
    </w:p>
    <w:p>
      <w:pPr>
        <w:pStyle w:val="Normal"/>
        <w:rPr/>
      </w:pPr>
      <w:r>
        <w:rPr/>
        <w:t>Do wyboru jest kilka wariantów pomp ciepła. Przede wszystkim należy wybrać sposób zasilania. Jednymi z pierwszych były modele gruntowe, które mają też najlepszą wydajność i są w stanie zaspokoić 100% zapotrzebowania budynku na ciepło (ogrzewanie i cwu).</w:t>
      </w:r>
    </w:p>
    <w:p>
      <w:pPr>
        <w:pStyle w:val="Normal"/>
        <w:jc w:val="both"/>
        <w:rPr/>
      </w:pPr>
      <w:r>
        <w:rPr/>
        <w:t xml:space="preserve">Z czasem obserwowaliśmy również znaczny rozwój technologii pomp powietrznych, którymi również jesteśmy w stanie ogrzewać dom przez cały rok (wcześniej były wykorzystywane raczej na potrzeby przygotowania c.w.u. lub do wspomagania ogrzewania). </w:t>
      </w:r>
    </w:p>
    <w:p>
      <w:pPr>
        <w:pStyle w:val="Nagwek2"/>
        <w:jc w:val="both"/>
        <w:rPr/>
      </w:pPr>
      <w:bookmarkStart w:id="0" w:name="_Toc119179207"/>
      <w:r>
        <w:rPr>
          <w:rFonts w:eastAsia="Calibri" w:cs="" w:ascii="Calibri" w:hAnsi="Calibri" w:asciiTheme="minorHAnsi" w:cstheme="minorBidi" w:eastAsiaTheme="minorHAnsi" w:hAnsiTheme="minorHAnsi"/>
          <w:b/>
          <w:color w:val="auto"/>
          <w:sz w:val="22"/>
          <w:szCs w:val="22"/>
        </w:rPr>
        <w:t>Rośliny ograniczająca zanieczyszczenie powietrza</w:t>
      </w:r>
      <w:r>
        <w:rPr>
          <w:rStyle w:val="Zakotwiczenieprzypisudolnego"/>
        </w:rPr>
        <w:footnoteReference w:id="11"/>
      </w:r>
      <w:bookmarkEnd w:id="0"/>
    </w:p>
    <w:p>
      <w:pPr>
        <w:pStyle w:val="Normal"/>
        <w:jc w:val="both"/>
        <w:rPr/>
      </w:pPr>
      <w:r>
        <w:rPr/>
        <w:t xml:space="preserve">W walce o czyste środowisko rośliny są naszymi największymi sojusznikami. Ich organizmy w procesie ewolucji wykształciły bowiem mechanizmy obronne polegające na wychwytywaniu wielu skażeń powietrza, gleby i wody. Pyły zawieszone są zatrzymywane przez nalot woskowy czy włoski pokrywające liście, skąd przemieszczają się do komórek skórki i tam są unieruchamiane. Rośliny, nawilżając powietrze parą wodną, oczyszczają też dolne warstwy atmosfery z pyłów. </w:t>
      </w:r>
    </w:p>
    <w:p>
      <w:pPr>
        <w:pStyle w:val="Normal"/>
        <w:jc w:val="both"/>
        <w:rPr/>
      </w:pPr>
      <w:r>
        <w:rPr/>
        <w:t>Najbardziej skuteczne są gatunki odporne na tzw. warunki miejskie i dające dużą masę liści. To przede wszystkim drzewa i silnie rosnące pnącza, które zabierają minimum miejsca „w parterze”.</w:t>
      </w:r>
    </w:p>
    <w:p>
      <w:pPr>
        <w:pStyle w:val="Normal"/>
        <w:jc w:val="both"/>
        <w:rPr/>
      </w:pPr>
      <w:r>
        <w:rPr/>
        <w:t xml:space="preserve">Im większa masa zieleni i lepiej dobrane gatunki, tym większa skuteczność fitoremediacji, czyli procesu leczenia środowiska przez rośliny. </w:t>
      </w:r>
    </w:p>
    <w:p>
      <w:pPr>
        <w:pStyle w:val="Normal"/>
        <w:jc w:val="both"/>
        <w:rPr/>
      </w:pPr>
      <w:r>
        <w:rPr/>
        <w:t xml:space="preserve">Brak drzew w miastach to zagrożenie dla zdrowia naszego i przyszłych pokoleń. Niestety, całkiem realne, bo coraz częściej w miejsce parków i ulicznych drzew wkracza beton – budynki, drogi, centra handlowe i parkingi. Drzewa usuwane są z miejskich placów, ulic i poboczy dróg. Inne, okaleczane ostrym cięciem przez obcinanie dolnych gałęzi i tzw. redukowanie koron, chorują (miejsca okaleczeń są podatne na choroby grzybowe). W ten sposób niszczony jest naturalny filtr antysmogowy. </w:t>
      </w:r>
    </w:p>
    <w:p>
      <w:pPr>
        <w:pStyle w:val="Normal"/>
        <w:jc w:val="both"/>
        <w:rPr/>
      </w:pPr>
      <w:r>
        <w:rPr/>
        <w:t>Trzeba zacząć poważnie myśleć o bezcennej miejskiej zieleni, zwłaszcza że tutejsze warunki nie należą do sprzyjających. Latem drzewa w miastach muszą zmagać się z wysokimi temperaturami i suszą. Betonowanie otoczenia powoduje brak dopływu wód opadowych i powietrza do korzeni, niekorzystne jest też zasolenie (skutek zimowego odśnieżania jezdni i chodników) oraz komunikacyjne wibracje, które naruszają system korzeniowy. Kilkudziesięcioletni klon czy lipa to dopiero młodzieńcy (gatunki te dożywają setek lat w naturze). Wiekowe drzewa są nie tylko niezastąpionymi odkurzaczami miejskich przestrzeni – latem obniżają temperaturę ulic, dają miły cień i potrzebną wilgoć, a nade wszystko dostarczają bezcennego dla naszego zdrowia czystego tlenu. Jedno drzewo z obfitą koroną produkuje go tyle, ile potrzeba do życia czteroosobowej rodzinie. Taką powierzchnię liści zastąpi dopiero około 250 świeżo posadzonych małych drzewek! Te zaś sadźmy swoją drogą, najlepiej gatunki odporne na warunki miejskie</w:t>
      </w:r>
    </w:p>
    <w:p>
      <w:pPr>
        <w:pStyle w:val="Normal"/>
        <w:jc w:val="both"/>
        <w:rPr>
          <w:b/>
          <w:b/>
        </w:rPr>
      </w:pPr>
      <w:r>
        <w:rPr/>
        <w:t>Jeżeli chcemy wykorzystać oczyszczające powietrze właściwości roślin, możemy zadbać o to, aby otoczyć się nimi w ogrodzie. Warto więc w aranżacji działki czy ogrodu wykorzystać gatunki np. sosny, jałowca, dębu, klonu czy czeremchy.</w:t>
      </w:r>
    </w:p>
    <w:p>
      <w:pPr>
        <w:pStyle w:val="Normal"/>
        <w:jc w:val="both"/>
        <w:rPr/>
      </w:pPr>
      <w:r>
        <w:rPr/>
        <w:t>Wśród roślin poprawiających jakość powietrza</w:t>
      </w:r>
      <w:r>
        <w:rPr>
          <w:rStyle w:val="Zakotwiczenieprzypisudolnego"/>
          <w:vertAlign w:val="superscript"/>
        </w:rPr>
        <w:footnoteReference w:id="12"/>
      </w:r>
      <w:r>
        <w:rPr/>
        <w:t xml:space="preserve"> znajdziemy także gatunki doniczkowe, które możemy hodować w naszych mieszkaniach. Dzięki nim powietrze, które wypełnia nasze wnętrza, zostanie pozbawione np. rtęci, benzenu, acetonu, formaldehydu czy trichloroetylenu. Jest spora lista roślin, które skutecznie oczyszczają powietrze w domu, ale tylko kilka które działają antysmogwo.</w:t>
      </w:r>
    </w:p>
    <w:p>
      <w:pPr>
        <w:pStyle w:val="Normal"/>
        <w:spacing w:before="0" w:after="0"/>
        <w:jc w:val="both"/>
        <w:rPr/>
      </w:pPr>
      <w:r>
        <w:rPr/>
        <w:t>•</w:t>
      </w:r>
      <w:r>
        <w:rPr/>
        <w:tab/>
        <w:t>dracena obrzeżona (Dracaena marginata)</w:t>
      </w:r>
    </w:p>
    <w:p>
      <w:pPr>
        <w:pStyle w:val="Normal"/>
        <w:spacing w:before="0" w:after="0"/>
        <w:jc w:val="both"/>
        <w:rPr/>
      </w:pPr>
      <w:r>
        <w:rPr/>
        <w:t>•</w:t>
      </w:r>
      <w:r>
        <w:rPr/>
        <w:tab/>
        <w:t>bluszcz pospolity (Hedera helix)</w:t>
      </w:r>
    </w:p>
    <w:p>
      <w:pPr>
        <w:pStyle w:val="Normal"/>
        <w:spacing w:before="0" w:after="0"/>
        <w:jc w:val="both"/>
        <w:rPr/>
      </w:pPr>
      <w:r>
        <w:rPr/>
        <w:t>•</w:t>
      </w:r>
      <w:r>
        <w:rPr/>
        <w:tab/>
        <w:t>figowiec Benjamina</w:t>
      </w:r>
    </w:p>
    <w:p>
      <w:pPr>
        <w:pStyle w:val="Normal"/>
        <w:spacing w:before="0" w:after="0"/>
        <w:jc w:val="both"/>
        <w:rPr/>
      </w:pPr>
      <w:r>
        <w:rPr/>
        <w:t>•</w:t>
      </w:r>
      <w:r>
        <w:rPr/>
        <w:tab/>
        <w:t>dracena wonna</w:t>
      </w:r>
    </w:p>
    <w:p>
      <w:pPr>
        <w:pStyle w:val="Normal"/>
        <w:spacing w:before="0" w:after="0"/>
        <w:jc w:val="both"/>
        <w:rPr/>
      </w:pPr>
      <w:r>
        <w:rPr/>
        <w:t>•</w:t>
      </w:r>
      <w:r>
        <w:rPr/>
        <w:tab/>
        <w:t>paprocie</w:t>
      </w:r>
    </w:p>
    <w:p>
      <w:pPr>
        <w:pStyle w:val="Normal"/>
        <w:jc w:val="both"/>
        <w:rPr/>
      </w:pPr>
      <w:r>
        <w:rPr/>
        <w:t>Poniżej krótka ich charakterystyka.</w:t>
      </w:r>
    </w:p>
    <w:p>
      <w:pPr>
        <w:pStyle w:val="Normal"/>
        <w:jc w:val="both"/>
        <w:rPr/>
      </w:pPr>
      <w:r>
        <w:rPr>
          <w:b/>
        </w:rPr>
        <w:t>Paprotka</w:t>
      </w:r>
      <w:r>
        <w:rPr/>
        <w:t xml:space="preserve"> (Polypodium) oczyszcza z toksyn, które mogą wydzielać się z niektórych elementów wyposażenia, np. mebli, świeżo nałożonych farb czy też wykładzin albo tapet. Pochłania formaldehyd, a także szkodliwe promieniowanie emitowane przez komputery i telewizory. Duża powierzchnia liści paproci skutecznie nawilża powietrze. Istnieje wiele gatunków paproci i mogą się one nieco różnić wymaganiami. Gatunek ten jednak lubi dużą ilość rozproszonego światła słonecznego i wilgoć. Warto często spryskiwać paproć wodą. Zobacz naszą poradę, jak pielęgnować domowe paprocie.</w:t>
      </w:r>
    </w:p>
    <w:p>
      <w:pPr>
        <w:pStyle w:val="Normal"/>
        <w:jc w:val="both"/>
        <w:rPr/>
      </w:pPr>
      <w:r>
        <w:rPr>
          <w:b/>
        </w:rPr>
        <w:t>Bluszcz</w:t>
      </w:r>
      <w:r>
        <w:rPr/>
        <w:t xml:space="preserve"> (Hedera) jest rośliną mało wymagającą, posiada przy tym wiele ozdobnych gatunków. Usuwa on z powietrza benzen, ksylen, formaldehyd oraz trójchloroetylen. Ten kwiat oczyszczający powietrze może być hodowany nawet w mało doświetlonych pomieszczeniach – w holach czy korytarzach.</w:t>
      </w:r>
    </w:p>
    <w:p>
      <w:pPr>
        <w:pStyle w:val="Normal"/>
        <w:jc w:val="both"/>
        <w:rPr/>
      </w:pPr>
      <w:r>
        <w:rPr>
          <w:b/>
        </w:rPr>
        <w:t>Figowiec Benjamina</w:t>
      </w:r>
      <w:r>
        <w:rPr/>
        <w:t>, czy fikus (figowiec sprężysty) – jest to również bardzo łatwa w uprawie roślina, mająca niewielkie wymagania. Figowce mają drobne, skórzaste liście, jednolite albo nakrapiane białymi lub jasnozielonymi plamkami. Rosną nawet w zacienieniu i chłodzie, potrzebują jedynie sporo wilgoci w ziemi. Jedyną ich wadą jest podatność na mszyce, tarczniki, przędziorki czy wciornastki. Neutralizują one toksyczne działanie formaldehydu, benzenu i amoniaku.</w:t>
      </w:r>
    </w:p>
    <w:p>
      <w:pPr>
        <w:pStyle w:val="Normal"/>
        <w:jc w:val="both"/>
        <w:rPr/>
      </w:pPr>
      <w:r>
        <w:rPr>
          <w:b/>
        </w:rPr>
        <w:t>Dracena</w:t>
      </w:r>
      <w:r>
        <w:rPr/>
        <w:t xml:space="preserve"> wonna, deremeńska czy obrzeżona - skutecznie odfiltrowują one z powietrza chociażby formaldehyd, ale także toluen, benzen, trójchloroetylen oraz podobno także tlenek węgla. Draceny lubią dobrze przepuszczalne podłoże. Na dno doniczki warto dać grubą warstwę drenażu. Latem należy obficie je podlewać, ale nie dopuścić do tego, aby roślina stała w wodzie. Te kwiaty do sypialni oczyszczające powietrze lubią dużo słońca, zatem doskonale nadają się do sypialni wychodzących na południe czy zachód.</w:t>
      </w:r>
    </w:p>
    <w:p>
      <w:pPr>
        <w:pStyle w:val="Normal"/>
        <w:jc w:val="both"/>
        <w:rPr/>
      </w:pPr>
      <w:r>
        <w:rPr>
          <w:b/>
        </w:rPr>
        <w:t>Palmy</w:t>
      </w:r>
      <w:r>
        <w:rPr/>
        <w:t>, które najskuteczniej pochłaniają toksyny, to: Rhapis, Excela, Areka czy daktylowiec niski. Są zwykle dość sporych rozmiarów, ale nie są specjalnie wymagające, wystarczy im kilka godzin światła słonecznego dziennie. Te kwiaty oczyszczające powietrze sprawdzają się w dużych holach, biurach czy na korytarzach. Dobrze pochłaniają formaldehyd, amoniak, a także toluen, ksylen czy benzen.</w:t>
      </w:r>
    </w:p>
    <w:p>
      <w:pPr>
        <w:pStyle w:val="Normal"/>
        <w:jc w:val="both"/>
        <w:rPr>
          <w:b/>
          <w:b/>
        </w:rPr>
      </w:pPr>
      <w:r>
        <w:rPr>
          <w:b/>
        </w:rPr>
        <w:t>Podsumowane</w:t>
      </w:r>
    </w:p>
    <w:p>
      <w:pPr>
        <w:pStyle w:val="Normal"/>
        <w:jc w:val="both"/>
        <w:rPr/>
      </w:pPr>
      <w:r>
        <w:rPr/>
        <w:t xml:space="preserve">Problem niskiej emisji, jest obecnie jednym z ważniejszych priorytetów zarówno polityki krajowej, jak i unijnej. Dla przeciętnego obywatela staje się on szczególnie dotkliwy w okresie grzewczym, czyli od końca września do marca. Wówczas zła jakość powietrza powoduje istotne konsekwencje zdrowotne szczególnie ze strony układu krążeniowo-oddechowego. </w:t>
      </w:r>
    </w:p>
    <w:p>
      <w:pPr>
        <w:pStyle w:val="Normal"/>
        <w:spacing w:before="0" w:after="160"/>
        <w:jc w:val="both"/>
        <w:rPr/>
      </w:pPr>
      <w:r>
        <w:rPr/>
        <w:t xml:space="preserve">Przedstawione wyżej informacje są </w:t>
      </w:r>
      <w:r>
        <w:rPr/>
        <w:t xml:space="preserve">przeglądem możliwych do zrealizowania działań w obszarze ograniczenia niskiej emisji, </w:t>
      </w:r>
      <w:r>
        <w:rPr/>
        <w:t xml:space="preserve">oraz </w:t>
      </w:r>
      <w:r>
        <w:rPr/>
        <w:t>pom</w:t>
      </w:r>
      <w:r>
        <w:rPr/>
        <w:t>agają</w:t>
      </w:r>
      <w:r>
        <w:rPr/>
        <w:t xml:space="preserve"> zrozumieć, że problem zanieczyszczenia powietrza dotyka każdego z nas  i że mamy możliwość zadbać o leprze powietrze.</w:t>
      </w:r>
    </w:p>
    <w:sectPr>
      <w:footerReference w:type="default" r:id="rId9"/>
      <w:footnotePr>
        <w:numFmt w:val="decimal"/>
      </w:footnotePr>
      <w:type w:val="nextPage"/>
      <w:pgSz w:w="11906" w:h="16838"/>
      <w:pgMar w:left="1417" w:right="1417" w:gutter="0" w:header="0" w:top="1417" w:footer="554" w:bottom="1417"/>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Calibri">
    <w:charset w:val="ee"/>
    <w:family w:val="roman"/>
    <w:pitch w:val="variable"/>
  </w:font>
  <w:font w:name="Calibri Light">
    <w:charset w:val="ee"/>
    <w:family w:val="roman"/>
    <w:pitch w:val="variable"/>
  </w:font>
  <w:font w:name="Times New Roman">
    <w:charset w:val="ee"/>
    <w:family w:val="roman"/>
    <w:pitch w:val="variable"/>
  </w:font>
  <w:font w:name="Liberation Sans">
    <w:altName w:val="Arial"/>
    <w:charset w:val="ee"/>
    <w:family w:val="roman"/>
    <w:pitch w:val="variable"/>
  </w:font>
  <w:font w:name="Arial CE">
    <w:charset w:val="ee"/>
    <w:family w:val="roman"/>
    <w:pitch w:val="variable"/>
  </w:font>
  <w:font w:name="Courier New">
    <w:charset w:val="01"/>
    <w:family w:val="modern"/>
    <w:pitch w:val="fixed"/>
  </w:font>
  <w:font w:name="Wingdings">
    <w:charset w:val="02"/>
    <w:family w:val="auto"/>
    <w:pitch w:val="variable"/>
  </w:font>
  <w:font w:name="Calibri">
    <w:charset w:val="01"/>
    <w:family w:val="swiss"/>
    <w:pitch w:val="variable"/>
  </w:font>
  <w:font w:name="Arial">
    <w:charset w:val="01"/>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507186302"/>
    </w:sdtPr>
    <w:sdtContent>
      <w:p>
        <w:pPr>
          <w:pStyle w:val="Stopka"/>
          <w:jc w:val="center"/>
          <w:rPr/>
        </w:pPr>
        <w:r>
          <w:rPr/>
          <w:fldChar w:fldCharType="begin"/>
        </w:r>
        <w:r>
          <w:rPr/>
          <w:instrText> PAGE </w:instrText>
        </w:r>
        <w:r>
          <w:rPr/>
          <w:fldChar w:fldCharType="separate"/>
        </w:r>
        <w:r>
          <w:rPr/>
          <w:t>16</w:t>
        </w:r>
        <w:r>
          <w:rPr/>
          <w:fldChar w:fldCharType="end"/>
        </w:r>
      </w:p>
    </w:sdtContent>
  </w:sdt>
</w:ftr>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pPr>
        <w:rPr>
          <w:sz w:val="12"/>
        </w:rPr>
      </w:pPr>
      <w:r>
        <w:separator/>
      </w:r>
    </w:p>
  </w:footnote>
  <w:footnote w:id="1" w:type="continuationSeparator">
    <w:p>
      <w:pPr>
        <w:rPr>
          <w:sz w:val="12"/>
        </w:rPr>
      </w:pPr>
      <w:r>
        <w:continuationSeparator/>
      </w:r>
    </w:p>
  </w:footnote>
  <w:footnote w:id="2">
    <w:p>
      <w:pPr>
        <w:pStyle w:val="Przypisdolny"/>
        <w:rPr/>
      </w:pPr>
      <w:r>
        <w:rPr>
          <w:rStyle w:val="Znakiprzypiswdolnych"/>
        </w:rPr>
        <w:footnoteRef/>
      </w:r>
      <w:r>
        <w:rPr/>
        <w:t xml:space="preserve"> </w:t>
      </w:r>
      <w:r>
        <w:rPr/>
        <w:t>https://www.teraz-srodowisko.pl/slownik-ochrona-srodowiska/definicja/niska-emisja.html</w:t>
      </w:r>
    </w:p>
  </w:footnote>
  <w:footnote w:id="3">
    <w:p>
      <w:pPr>
        <w:pStyle w:val="Przypisdolny"/>
        <w:rPr/>
      </w:pPr>
      <w:r>
        <w:rPr>
          <w:rStyle w:val="Znakiprzypiswdolnych"/>
        </w:rPr>
        <w:footnoteRef/>
      </w:r>
      <w:r>
        <w:rPr/>
        <w:t xml:space="preserve"> </w:t>
      </w:r>
      <w:r>
        <w:rPr/>
        <w:t>https://www.niepolomice.eu/informator/niska-emisja-definicja-skutki-przyczyny/</w:t>
      </w:r>
    </w:p>
  </w:footnote>
  <w:footnote w:id="4">
    <w:p>
      <w:pPr>
        <w:pStyle w:val="Przypisdolny"/>
        <w:rPr>
          <w:lang w:val="en-US"/>
        </w:rPr>
      </w:pPr>
      <w:r>
        <w:rPr>
          <w:rStyle w:val="Znakiprzypiswdolnych"/>
        </w:rPr>
        <w:footnoteRef/>
      </w:r>
      <w:r>
        <w:rPr>
          <w:lang w:val="en-US"/>
        </w:rPr>
        <w:t xml:space="preserve"> </w:t>
      </w:r>
      <w:r>
        <w:rPr>
          <w:lang w:val="en-US"/>
        </w:rPr>
        <w:t>The ecological and economic aspects of a low emission limitation: a case study for Poland” M. Dzikić, J. Adamczyk</w:t>
      </w:r>
    </w:p>
  </w:footnote>
  <w:footnote w:id="5">
    <w:p>
      <w:pPr>
        <w:pStyle w:val="Przypisdolny"/>
        <w:rPr>
          <w:lang w:val="en-US"/>
        </w:rPr>
      </w:pPr>
      <w:r>
        <w:rPr>
          <w:rStyle w:val="Znakiprzypiswdolnych"/>
        </w:rPr>
        <w:footnoteRef/>
      </w:r>
      <w:r>
        <w:rPr>
          <w:lang w:val="en-US"/>
        </w:rPr>
        <w:t xml:space="preserve"> </w:t>
      </w:r>
      <w:r>
        <w:rPr>
          <w:lang w:val="en-US"/>
        </w:rPr>
        <w:t>https://www.swiatoze.com/?gclid=EAIaIQobChMI0OC-hLTW-wIVVACiAx0eGQyNEAAYAiAAEgLiePD_BwE</w:t>
      </w:r>
    </w:p>
  </w:footnote>
  <w:footnote w:id="6">
    <w:p>
      <w:pPr>
        <w:pStyle w:val="Przypisdolny"/>
        <w:rPr>
          <w:lang w:val="en-US"/>
        </w:rPr>
      </w:pPr>
      <w:r>
        <w:rPr>
          <w:rStyle w:val="Znakiprzypiswdolnych"/>
        </w:rPr>
        <w:footnoteRef/>
      </w:r>
      <w:r>
        <w:rPr>
          <w:lang w:val="en-US"/>
        </w:rPr>
        <w:t xml:space="preserve"> </w:t>
      </w:r>
      <w:r>
        <w:rPr>
          <w:lang w:val="en-US"/>
        </w:rPr>
        <w:t>https://www.pieniadzepodkontrola.pl/ile-zaoszczedzisz-na-ogrzewaniu-obnizajac-o-1-stopien-temperature-w-mieszkaniu-lub-domu-kalkulacja/</w:t>
      </w:r>
    </w:p>
  </w:footnote>
  <w:footnote w:id="7">
    <w:p>
      <w:pPr>
        <w:pStyle w:val="Przypisdolny"/>
        <w:rPr>
          <w:lang w:val="en-US"/>
        </w:rPr>
      </w:pPr>
      <w:r>
        <w:rPr>
          <w:rStyle w:val="Znakiprzypiswdolnych"/>
        </w:rPr>
        <w:footnoteRef/>
      </w:r>
      <w:r>
        <w:rPr>
          <w:lang w:val="en-US"/>
        </w:rPr>
        <w:t xml:space="preserve"> </w:t>
      </w:r>
      <w:r>
        <w:rPr>
          <w:lang w:val="en-US"/>
        </w:rPr>
        <w:t>The ecological and economic aspects of a low emission limitation: a case study for Poland” M. Dzikić, J. Adamczyk</w:t>
      </w:r>
    </w:p>
  </w:footnote>
  <w:footnote w:id="8">
    <w:p>
      <w:pPr>
        <w:pStyle w:val="Przypisdolny"/>
        <w:rPr>
          <w:lang w:val="en-US"/>
        </w:rPr>
      </w:pPr>
      <w:r>
        <w:rPr>
          <w:rStyle w:val="Znakiprzypiswdolnych"/>
        </w:rPr>
        <w:footnoteRef/>
      </w:r>
      <w:r>
        <w:rPr>
          <w:lang w:val="en-US"/>
        </w:rPr>
        <w:t xml:space="preserve"> </w:t>
      </w:r>
      <w:r>
        <w:rPr>
          <w:lang w:val="en-US"/>
        </w:rPr>
        <w:t>https://www.techsterowniki.pl/blog/jak-palic-w-piecu-oszczednie-i-ekologicznie</w:t>
      </w:r>
    </w:p>
  </w:footnote>
  <w:footnote w:id="9">
    <w:p>
      <w:pPr>
        <w:pStyle w:val="Przypisdolny"/>
        <w:rPr>
          <w:lang w:val="en-US"/>
        </w:rPr>
      </w:pPr>
      <w:r>
        <w:rPr>
          <w:rStyle w:val="Znakiprzypiswdolnych"/>
        </w:rPr>
        <w:footnoteRef/>
      </w:r>
      <w:r>
        <w:rPr>
          <w:lang w:val="en-US"/>
        </w:rPr>
        <w:t xml:space="preserve"> </w:t>
      </w:r>
      <w:r>
        <w:rPr>
          <w:lang w:val="en-US"/>
        </w:rPr>
        <w:t>https://sorbenter1.pl/jak-palic-w-piecu-od-gory/</w:t>
      </w:r>
    </w:p>
  </w:footnote>
  <w:footnote w:id="10">
    <w:p>
      <w:pPr>
        <w:pStyle w:val="Przypisdolny"/>
        <w:rPr>
          <w:lang w:val="en-US"/>
        </w:rPr>
      </w:pPr>
      <w:r>
        <w:rPr>
          <w:rStyle w:val="Znakiprzypiswdolnych"/>
        </w:rPr>
        <w:footnoteRef/>
      </w:r>
      <w:r>
        <w:rPr>
          <w:lang w:val="en-US"/>
        </w:rPr>
        <w:t xml:space="preserve"> </w:t>
      </w:r>
      <w:r>
        <w:rPr>
          <w:lang w:val="en-US"/>
        </w:rPr>
        <w:t>https://www.drewno-kominkowe-cieszyn.pl/blog/jaka-jest-maksymalna-dopuszczalna-wilgotnosc-drewna-opalowego</w:t>
      </w:r>
    </w:p>
  </w:footnote>
  <w:footnote w:id="11">
    <w:p>
      <w:pPr>
        <w:pStyle w:val="Przypisdolny"/>
        <w:rPr>
          <w:lang w:val="en-US"/>
        </w:rPr>
      </w:pPr>
      <w:r>
        <w:rPr>
          <w:rStyle w:val="Znakiprzypiswdolnych"/>
        </w:rPr>
        <w:footnoteRef/>
      </w:r>
      <w:r>
        <w:rPr>
          <w:lang w:val="en-US"/>
        </w:rPr>
        <w:t xml:space="preserve"> </w:t>
      </w:r>
      <w:r>
        <w:rPr>
          <w:lang w:val="en-US"/>
        </w:rPr>
        <w:t>https://www.castorama.pl/rosliny-oczyszczajace-powietrze-ins-94173.html</w:t>
      </w:r>
    </w:p>
  </w:footnote>
  <w:footnote w:id="12">
    <w:p>
      <w:pPr>
        <w:pStyle w:val="Przypisdolny"/>
        <w:rPr>
          <w:lang w:val="en-US"/>
        </w:rPr>
      </w:pPr>
      <w:r>
        <w:rPr>
          <w:rStyle w:val="Znakiprzypiswdolnych"/>
        </w:rPr>
        <w:footnoteRef/>
      </w:r>
      <w:r>
        <w:rPr>
          <w:lang w:val="en-US"/>
        </w:rPr>
        <w:t xml:space="preserve"> </w:t>
      </w:r>
      <w:r>
        <w:rPr>
          <w:lang w:val="en-US"/>
        </w:rPr>
        <w:t>https://ladnydom.pl/Ogrody/7,116527,21852504,rosliny-ktore-pomagaja-w-walce-ze-smogiem-w-miescie.html</w:t>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
      <w:lvlJc w:val="left"/>
      <w:pPr>
        <w:tabs>
          <w:tab w:val="num" w:pos="1440"/>
        </w:tabs>
        <w:ind w:left="1440" w:hanging="360"/>
      </w:pPr>
      <w:rPr>
        <w:rFonts w:ascii="Wingdings" w:hAnsi="Wingdings" w:cs="Wingdings"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Wingdings" w:hAnsi="Wingdings" w:cs="Wingdings" w:hint="default"/>
      </w:rPr>
    </w:lvl>
    <w:lvl w:ilvl="4">
      <w:start w:val="1"/>
      <w:numFmt w:val="bullet"/>
      <w:lvlText w:val=""/>
      <w:lvlJc w:val="left"/>
      <w:pPr>
        <w:tabs>
          <w:tab w:val="num" w:pos="3600"/>
        </w:tabs>
        <w:ind w:left="3600" w:hanging="360"/>
      </w:pPr>
      <w:rPr>
        <w:rFonts w:ascii="Wingdings" w:hAnsi="Wingdings" w:cs="Wingdings"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Wingdings" w:hAnsi="Wingdings" w:cs="Wingdings" w:hint="default"/>
      </w:rPr>
    </w:lvl>
    <w:lvl w:ilvl="7">
      <w:start w:val="1"/>
      <w:numFmt w:val="bullet"/>
      <w:lvlText w:val=""/>
      <w:lvlJc w:val="left"/>
      <w:pPr>
        <w:tabs>
          <w:tab w:val="num" w:pos="5760"/>
        </w:tabs>
        <w:ind w:left="5760" w:hanging="360"/>
      </w:pPr>
      <w:rPr>
        <w:rFonts w:ascii="Wingdings" w:hAnsi="Wingdings" w:cs="Wingdings"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4">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
      <w:lvlJc w:val="left"/>
      <w:pPr>
        <w:tabs>
          <w:tab w:val="num" w:pos="1440"/>
        </w:tabs>
        <w:ind w:left="1440" w:hanging="360"/>
      </w:pPr>
      <w:rPr>
        <w:rFonts w:ascii="Wingdings" w:hAnsi="Wingdings" w:cs="Wingdings"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Wingdings" w:hAnsi="Wingdings" w:cs="Wingdings" w:hint="default"/>
      </w:rPr>
    </w:lvl>
    <w:lvl w:ilvl="4">
      <w:start w:val="1"/>
      <w:numFmt w:val="bullet"/>
      <w:lvlText w:val=""/>
      <w:lvlJc w:val="left"/>
      <w:pPr>
        <w:tabs>
          <w:tab w:val="num" w:pos="3600"/>
        </w:tabs>
        <w:ind w:left="3600" w:hanging="360"/>
      </w:pPr>
      <w:rPr>
        <w:rFonts w:ascii="Wingdings" w:hAnsi="Wingdings" w:cs="Wingdings"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Wingdings" w:hAnsi="Wingdings" w:cs="Wingdings" w:hint="default"/>
      </w:rPr>
    </w:lvl>
    <w:lvl w:ilvl="7">
      <w:start w:val="1"/>
      <w:numFmt w:val="bullet"/>
      <w:lvlText w:val=""/>
      <w:lvlJc w:val="left"/>
      <w:pPr>
        <w:tabs>
          <w:tab w:val="num" w:pos="5760"/>
        </w:tabs>
        <w:ind w:left="5760" w:hanging="360"/>
      </w:pPr>
      <w:rPr>
        <w:rFonts w:ascii="Wingdings" w:hAnsi="Wingdings" w:cs="Wingdings"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
      <w:lvlJc w:val="left"/>
      <w:pPr>
        <w:tabs>
          <w:tab w:val="num" w:pos="1440"/>
        </w:tabs>
        <w:ind w:left="1440" w:hanging="360"/>
      </w:pPr>
      <w:rPr>
        <w:rFonts w:ascii="Wingdings" w:hAnsi="Wingdings" w:cs="Wingdings"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Wingdings" w:hAnsi="Wingdings" w:cs="Wingdings" w:hint="default"/>
      </w:rPr>
    </w:lvl>
    <w:lvl w:ilvl="4">
      <w:start w:val="1"/>
      <w:numFmt w:val="bullet"/>
      <w:lvlText w:val=""/>
      <w:lvlJc w:val="left"/>
      <w:pPr>
        <w:tabs>
          <w:tab w:val="num" w:pos="3600"/>
        </w:tabs>
        <w:ind w:left="3600" w:hanging="360"/>
      </w:pPr>
      <w:rPr>
        <w:rFonts w:ascii="Wingdings" w:hAnsi="Wingdings" w:cs="Wingdings"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Wingdings" w:hAnsi="Wingdings" w:cs="Wingdings" w:hint="default"/>
      </w:rPr>
    </w:lvl>
    <w:lvl w:ilvl="7">
      <w:start w:val="1"/>
      <w:numFmt w:val="bullet"/>
      <w:lvlText w:val=""/>
      <w:lvlJc w:val="left"/>
      <w:pPr>
        <w:tabs>
          <w:tab w:val="num" w:pos="5760"/>
        </w:tabs>
        <w:ind w:left="5760" w:hanging="360"/>
      </w:pPr>
      <w:rPr>
        <w:rFonts w:ascii="Wingdings" w:hAnsi="Wingdings" w:cs="Wingdings"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6">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
      <w:lvlJc w:val="left"/>
      <w:pPr>
        <w:tabs>
          <w:tab w:val="num" w:pos="1440"/>
        </w:tabs>
        <w:ind w:left="1440" w:hanging="360"/>
      </w:pPr>
      <w:rPr>
        <w:rFonts w:ascii="Wingdings" w:hAnsi="Wingdings" w:cs="Wingdings"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Wingdings" w:hAnsi="Wingdings" w:cs="Wingdings" w:hint="default"/>
      </w:rPr>
    </w:lvl>
    <w:lvl w:ilvl="4">
      <w:start w:val="1"/>
      <w:numFmt w:val="bullet"/>
      <w:lvlText w:val=""/>
      <w:lvlJc w:val="left"/>
      <w:pPr>
        <w:tabs>
          <w:tab w:val="num" w:pos="3600"/>
        </w:tabs>
        <w:ind w:left="3600" w:hanging="360"/>
      </w:pPr>
      <w:rPr>
        <w:rFonts w:ascii="Wingdings" w:hAnsi="Wingdings" w:cs="Wingdings"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Wingdings" w:hAnsi="Wingdings" w:cs="Wingdings" w:hint="default"/>
      </w:rPr>
    </w:lvl>
    <w:lvl w:ilvl="7">
      <w:start w:val="1"/>
      <w:numFmt w:val="bullet"/>
      <w:lvlText w:val=""/>
      <w:lvlJc w:val="left"/>
      <w:pPr>
        <w:tabs>
          <w:tab w:val="num" w:pos="5760"/>
        </w:tabs>
        <w:ind w:left="5760" w:hanging="360"/>
      </w:pPr>
      <w:rPr>
        <w:rFonts w:ascii="Wingdings" w:hAnsi="Wingdings" w:cs="Wingdings"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7">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
      <w:lvlJc w:val="left"/>
      <w:pPr>
        <w:tabs>
          <w:tab w:val="num" w:pos="1440"/>
        </w:tabs>
        <w:ind w:left="1440" w:hanging="360"/>
      </w:pPr>
      <w:rPr>
        <w:rFonts w:ascii="Wingdings" w:hAnsi="Wingdings" w:cs="Wingdings"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Wingdings" w:hAnsi="Wingdings" w:cs="Wingdings" w:hint="default"/>
      </w:rPr>
    </w:lvl>
    <w:lvl w:ilvl="4">
      <w:start w:val="1"/>
      <w:numFmt w:val="bullet"/>
      <w:lvlText w:val=""/>
      <w:lvlJc w:val="left"/>
      <w:pPr>
        <w:tabs>
          <w:tab w:val="num" w:pos="3600"/>
        </w:tabs>
        <w:ind w:left="3600" w:hanging="360"/>
      </w:pPr>
      <w:rPr>
        <w:rFonts w:ascii="Wingdings" w:hAnsi="Wingdings" w:cs="Wingdings"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Wingdings" w:hAnsi="Wingdings" w:cs="Wingdings" w:hint="default"/>
      </w:rPr>
    </w:lvl>
    <w:lvl w:ilvl="7">
      <w:start w:val="1"/>
      <w:numFmt w:val="bullet"/>
      <w:lvlText w:val=""/>
      <w:lvlJc w:val="left"/>
      <w:pPr>
        <w:tabs>
          <w:tab w:val="num" w:pos="5760"/>
        </w:tabs>
        <w:ind w:left="5760" w:hanging="360"/>
      </w:pPr>
      <w:rPr>
        <w:rFonts w:ascii="Wingdings" w:hAnsi="Wingdings" w:cs="Wingdings"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lvl w:ilvl="0">
      <w:start w:val="1"/>
      <w:numFmt w:val="bullet"/>
      <w:lvlText w:val="»"/>
      <w:lvlJc w:val="left"/>
      <w:pPr>
        <w:tabs>
          <w:tab w:val="num" w:pos="720"/>
        </w:tabs>
        <w:ind w:left="720" w:hanging="360"/>
      </w:pPr>
      <w:rPr>
        <w:rFonts w:ascii="Calibri" w:hAnsi="Calibri" w:cs="Calibri" w:hint="default"/>
      </w:rPr>
    </w:lvl>
    <w:lvl w:ilvl="1">
      <w:start w:val="0"/>
      <w:numFmt w:val="bullet"/>
      <w:lvlText w:val="•"/>
      <w:lvlJc w:val="left"/>
      <w:pPr>
        <w:tabs>
          <w:tab w:val="num" w:pos="1440"/>
        </w:tabs>
        <w:ind w:left="1440" w:hanging="360"/>
      </w:pPr>
      <w:rPr>
        <w:rFonts w:ascii="Arial" w:hAnsi="Arial" w:cs="Arial" w:hint="default"/>
      </w:rPr>
    </w:lvl>
    <w:lvl w:ilvl="2">
      <w:start w:val="1"/>
      <w:numFmt w:val="bullet"/>
      <w:lvlText w:val="»"/>
      <w:lvlJc w:val="left"/>
      <w:pPr>
        <w:tabs>
          <w:tab w:val="num" w:pos="2160"/>
        </w:tabs>
        <w:ind w:left="2160" w:hanging="360"/>
      </w:pPr>
      <w:rPr>
        <w:rFonts w:ascii="Calibri" w:hAnsi="Calibri" w:cs="Calibri" w:hint="default"/>
      </w:rPr>
    </w:lvl>
    <w:lvl w:ilvl="3">
      <w:start w:val="1"/>
      <w:numFmt w:val="bullet"/>
      <w:lvlText w:val="»"/>
      <w:lvlJc w:val="left"/>
      <w:pPr>
        <w:tabs>
          <w:tab w:val="num" w:pos="2880"/>
        </w:tabs>
        <w:ind w:left="2880" w:hanging="360"/>
      </w:pPr>
      <w:rPr>
        <w:rFonts w:ascii="Calibri" w:hAnsi="Calibri" w:cs="Calibri" w:hint="default"/>
      </w:rPr>
    </w:lvl>
    <w:lvl w:ilvl="4">
      <w:start w:val="1"/>
      <w:numFmt w:val="bullet"/>
      <w:lvlText w:val="»"/>
      <w:lvlJc w:val="left"/>
      <w:pPr>
        <w:tabs>
          <w:tab w:val="num" w:pos="3600"/>
        </w:tabs>
        <w:ind w:left="3600" w:hanging="360"/>
      </w:pPr>
      <w:rPr>
        <w:rFonts w:ascii="Calibri" w:hAnsi="Calibri" w:cs="Calibri" w:hint="default"/>
      </w:rPr>
    </w:lvl>
    <w:lvl w:ilvl="5">
      <w:start w:val="1"/>
      <w:numFmt w:val="bullet"/>
      <w:lvlText w:val="»"/>
      <w:lvlJc w:val="left"/>
      <w:pPr>
        <w:tabs>
          <w:tab w:val="num" w:pos="4320"/>
        </w:tabs>
        <w:ind w:left="4320" w:hanging="360"/>
      </w:pPr>
      <w:rPr>
        <w:rFonts w:ascii="Calibri" w:hAnsi="Calibri" w:cs="Calibri" w:hint="default"/>
      </w:rPr>
    </w:lvl>
    <w:lvl w:ilvl="6">
      <w:start w:val="1"/>
      <w:numFmt w:val="bullet"/>
      <w:lvlText w:val="»"/>
      <w:lvlJc w:val="left"/>
      <w:pPr>
        <w:tabs>
          <w:tab w:val="num" w:pos="5040"/>
        </w:tabs>
        <w:ind w:left="5040" w:hanging="360"/>
      </w:pPr>
      <w:rPr>
        <w:rFonts w:ascii="Calibri" w:hAnsi="Calibri" w:cs="Calibri" w:hint="default"/>
      </w:rPr>
    </w:lvl>
    <w:lvl w:ilvl="7">
      <w:start w:val="1"/>
      <w:numFmt w:val="bullet"/>
      <w:lvlText w:val="»"/>
      <w:lvlJc w:val="left"/>
      <w:pPr>
        <w:tabs>
          <w:tab w:val="num" w:pos="5760"/>
        </w:tabs>
        <w:ind w:left="5760" w:hanging="360"/>
      </w:pPr>
      <w:rPr>
        <w:rFonts w:ascii="Calibri" w:hAnsi="Calibri" w:cs="Calibri" w:hint="default"/>
      </w:rPr>
    </w:lvl>
    <w:lvl w:ilvl="8">
      <w:start w:val="1"/>
      <w:numFmt w:val="bullet"/>
      <w:lvlText w:val="»"/>
      <w:lvlJc w:val="left"/>
      <w:pPr>
        <w:tabs>
          <w:tab w:val="num" w:pos="6480"/>
        </w:tabs>
        <w:ind w:left="6480" w:hanging="360"/>
      </w:pPr>
      <w:rPr>
        <w:rFonts w:ascii="Calibri" w:hAnsi="Calibri" w:cs="Calibri" w:hint="default"/>
      </w:rPr>
    </w:lvl>
  </w:abstractNum>
  <w:abstractNum w:abstractNumId="9">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
      <w:lvlJc w:val="left"/>
      <w:pPr>
        <w:tabs>
          <w:tab w:val="num" w:pos="1440"/>
        </w:tabs>
        <w:ind w:left="1440" w:hanging="360"/>
      </w:pPr>
      <w:rPr>
        <w:rFonts w:ascii="Wingdings" w:hAnsi="Wingdings" w:cs="Wingdings"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Wingdings" w:hAnsi="Wingdings" w:cs="Wingdings" w:hint="default"/>
      </w:rPr>
    </w:lvl>
    <w:lvl w:ilvl="4">
      <w:start w:val="1"/>
      <w:numFmt w:val="bullet"/>
      <w:lvlText w:val=""/>
      <w:lvlJc w:val="left"/>
      <w:pPr>
        <w:tabs>
          <w:tab w:val="num" w:pos="3600"/>
        </w:tabs>
        <w:ind w:left="3600" w:hanging="360"/>
      </w:pPr>
      <w:rPr>
        <w:rFonts w:ascii="Wingdings" w:hAnsi="Wingdings" w:cs="Wingdings"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Wingdings" w:hAnsi="Wingdings" w:cs="Wingdings" w:hint="default"/>
      </w:rPr>
    </w:lvl>
    <w:lvl w:ilvl="7">
      <w:start w:val="1"/>
      <w:numFmt w:val="bullet"/>
      <w:lvlText w:val=""/>
      <w:lvlJc w:val="left"/>
      <w:pPr>
        <w:tabs>
          <w:tab w:val="num" w:pos="5760"/>
        </w:tabs>
        <w:ind w:left="5760" w:hanging="360"/>
      </w:pPr>
      <w:rPr>
        <w:rFonts w:ascii="Wingdings" w:hAnsi="Wingdings" w:cs="Wingdings"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
      <w:lvlJc w:val="left"/>
      <w:pPr>
        <w:tabs>
          <w:tab w:val="num" w:pos="1440"/>
        </w:tabs>
        <w:ind w:left="1440" w:hanging="360"/>
      </w:pPr>
      <w:rPr>
        <w:rFonts w:ascii="Wingdings" w:hAnsi="Wingdings" w:cs="Wingdings"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Wingdings" w:hAnsi="Wingdings" w:cs="Wingdings" w:hint="default"/>
      </w:rPr>
    </w:lvl>
    <w:lvl w:ilvl="4">
      <w:start w:val="1"/>
      <w:numFmt w:val="bullet"/>
      <w:lvlText w:val=""/>
      <w:lvlJc w:val="left"/>
      <w:pPr>
        <w:tabs>
          <w:tab w:val="num" w:pos="3600"/>
        </w:tabs>
        <w:ind w:left="3600" w:hanging="360"/>
      </w:pPr>
      <w:rPr>
        <w:rFonts w:ascii="Wingdings" w:hAnsi="Wingdings" w:cs="Wingdings"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Wingdings" w:hAnsi="Wingdings" w:cs="Wingdings" w:hint="default"/>
      </w:rPr>
    </w:lvl>
    <w:lvl w:ilvl="7">
      <w:start w:val="1"/>
      <w:numFmt w:val="bullet"/>
      <w:lvlText w:val=""/>
      <w:lvlJc w:val="left"/>
      <w:pPr>
        <w:tabs>
          <w:tab w:val="num" w:pos="5760"/>
        </w:tabs>
        <w:ind w:left="5760" w:hanging="360"/>
      </w:pPr>
      <w:rPr>
        <w:rFonts w:ascii="Wingdings" w:hAnsi="Wingdings" w:cs="Wingdings"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
      <w:lvlJc w:val="left"/>
      <w:pPr>
        <w:tabs>
          <w:tab w:val="num" w:pos="1440"/>
        </w:tabs>
        <w:ind w:left="1440" w:hanging="360"/>
      </w:pPr>
      <w:rPr>
        <w:rFonts w:ascii="Wingdings" w:hAnsi="Wingdings" w:cs="Wingdings"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Wingdings" w:hAnsi="Wingdings" w:cs="Wingdings" w:hint="default"/>
      </w:rPr>
    </w:lvl>
    <w:lvl w:ilvl="4">
      <w:start w:val="1"/>
      <w:numFmt w:val="bullet"/>
      <w:lvlText w:val=""/>
      <w:lvlJc w:val="left"/>
      <w:pPr>
        <w:tabs>
          <w:tab w:val="num" w:pos="3600"/>
        </w:tabs>
        <w:ind w:left="3600" w:hanging="360"/>
      </w:pPr>
      <w:rPr>
        <w:rFonts w:ascii="Wingdings" w:hAnsi="Wingdings" w:cs="Wingdings"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Wingdings" w:hAnsi="Wingdings" w:cs="Wingdings" w:hint="default"/>
      </w:rPr>
    </w:lvl>
    <w:lvl w:ilvl="7">
      <w:start w:val="1"/>
      <w:numFmt w:val="bullet"/>
      <w:lvlText w:val=""/>
      <w:lvlJc w:val="left"/>
      <w:pPr>
        <w:tabs>
          <w:tab w:val="num" w:pos="5760"/>
        </w:tabs>
        <w:ind w:left="5760" w:hanging="360"/>
      </w:pPr>
      <w:rPr>
        <w:rFonts w:ascii="Wingdings" w:hAnsi="Wingdings" w:cs="Wingdings"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bering>
</file>

<file path=word/settings.xml><?xml version="1.0" encoding="utf-8"?>
<w:settings xmlns:w="http://schemas.openxmlformats.org/wordprocessingml/2006/main">
  <w:zoom w:percent="140"/>
  <w:defaultTabStop w:val="708"/>
  <w:autoHyphenation w:val="true"/>
  <w:footnotePr>
    <w:numFmt w:val="decimal"/>
    <w:footnote w:id="0"/>
    <w:footnote w:id="1"/>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hyphenationZone w:val="425"/>
  <w:themeFontLang w:val="pl-P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pl-PL"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suppressAutoHyphens w:val="true"/>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pl-PL" w:eastAsia="en-US" w:bidi="ar-SA"/>
    </w:rPr>
  </w:style>
  <w:style w:type="paragraph" w:styleId="Nagwek1">
    <w:name w:val="Heading 1"/>
    <w:basedOn w:val="Normal"/>
    <w:next w:val="Normal"/>
    <w:link w:val="Nagwek1Znak"/>
    <w:uiPriority w:val="9"/>
    <w:qFormat/>
    <w:rsid w:val="006e211e"/>
    <w:pPr>
      <w:keepNext w:val="true"/>
      <w:keepLines/>
      <w:spacing w:before="240" w:after="0"/>
      <w:outlineLvl w:val="0"/>
    </w:pPr>
    <w:rPr>
      <w:rFonts w:ascii="Calibri Light" w:hAnsi="Calibri Light" w:eastAsia="" w:cs="" w:asciiTheme="majorHAnsi" w:cstheme="majorBidi" w:eastAsiaTheme="majorEastAsia" w:hAnsiTheme="majorHAnsi"/>
      <w:color w:val="2E74B5" w:themeColor="accent1" w:themeShade="bf"/>
      <w:sz w:val="32"/>
      <w:szCs w:val="32"/>
    </w:rPr>
  </w:style>
  <w:style w:type="paragraph" w:styleId="Nagwek2">
    <w:name w:val="Heading 2"/>
    <w:basedOn w:val="Normal"/>
    <w:next w:val="Normal"/>
    <w:link w:val="Nagwek2Znak"/>
    <w:uiPriority w:val="9"/>
    <w:unhideWhenUsed/>
    <w:qFormat/>
    <w:rsid w:val="006e211e"/>
    <w:pPr>
      <w:keepNext w:val="true"/>
      <w:keepLines/>
      <w:spacing w:before="40" w:after="0"/>
      <w:outlineLvl w:val="1"/>
    </w:pPr>
    <w:rPr>
      <w:rFonts w:ascii="Calibri Light" w:hAnsi="Calibri Light" w:eastAsia="" w:cs="" w:asciiTheme="majorHAnsi" w:cstheme="majorBidi" w:eastAsiaTheme="majorEastAsia" w:hAnsiTheme="majorHAnsi"/>
      <w:color w:val="2E74B5" w:themeColor="accent1" w:themeShade="bf"/>
      <w:sz w:val="26"/>
      <w:szCs w:val="26"/>
    </w:rPr>
  </w:style>
  <w:style w:type="paragraph" w:styleId="Nagwek5">
    <w:name w:val="Heading 5"/>
    <w:basedOn w:val="Normal"/>
    <w:link w:val="Nagwek5Znak"/>
    <w:uiPriority w:val="9"/>
    <w:qFormat/>
    <w:rsid w:val="0071397e"/>
    <w:pPr>
      <w:spacing w:lineRule="auto" w:line="240" w:beforeAutospacing="1" w:afterAutospacing="1"/>
      <w:outlineLvl w:val="4"/>
    </w:pPr>
    <w:rPr>
      <w:rFonts w:ascii="Times New Roman" w:hAnsi="Times New Roman" w:eastAsia="Times New Roman" w:cs="Times New Roman"/>
      <w:b/>
      <w:bCs/>
      <w:sz w:val="20"/>
      <w:szCs w:val="20"/>
      <w:lang w:eastAsia="pl-PL"/>
    </w:rPr>
  </w:style>
  <w:style w:type="character" w:styleId="DefaultParagraphFont" w:default="1">
    <w:name w:val="Default Paragraph Font"/>
    <w:uiPriority w:val="1"/>
    <w:unhideWhenUsed/>
    <w:qFormat/>
    <w:rPr/>
  </w:style>
  <w:style w:type="character" w:styleId="TekstprzypisudolnegoZnak" w:customStyle="1">
    <w:name w:val="Tekst przypisu dolnego Znak"/>
    <w:basedOn w:val="DefaultParagraphFont"/>
    <w:link w:val="Tekstprzypisudolnego"/>
    <w:uiPriority w:val="99"/>
    <w:semiHidden/>
    <w:qFormat/>
    <w:rsid w:val="009726fc"/>
    <w:rPr>
      <w:sz w:val="20"/>
      <w:szCs w:val="20"/>
    </w:rPr>
  </w:style>
  <w:style w:type="character" w:styleId="Zakotwiczenieprzypisudolnego">
    <w:name w:val="Zakotwiczenie przypisu dolnego"/>
    <w:rPr>
      <w:vertAlign w:val="superscript"/>
    </w:rPr>
  </w:style>
  <w:style w:type="character" w:styleId="FootnoteCharacters">
    <w:name w:val="Footnote Characters"/>
    <w:basedOn w:val="DefaultParagraphFont"/>
    <w:uiPriority w:val="99"/>
    <w:semiHidden/>
    <w:unhideWhenUsed/>
    <w:qFormat/>
    <w:rsid w:val="009726fc"/>
    <w:rPr>
      <w:vertAlign w:val="superscript"/>
    </w:rPr>
  </w:style>
  <w:style w:type="character" w:styleId="Nagwek5Znak" w:customStyle="1">
    <w:name w:val="Nagłówek 5 Znak"/>
    <w:basedOn w:val="DefaultParagraphFont"/>
    <w:link w:val="Nagwek5"/>
    <w:uiPriority w:val="9"/>
    <w:qFormat/>
    <w:rsid w:val="0071397e"/>
    <w:rPr>
      <w:rFonts w:ascii="Times New Roman" w:hAnsi="Times New Roman" w:eastAsia="Times New Roman" w:cs="Times New Roman"/>
      <w:b/>
      <w:bCs/>
      <w:sz w:val="20"/>
      <w:szCs w:val="20"/>
      <w:lang w:eastAsia="pl-PL"/>
    </w:rPr>
  </w:style>
  <w:style w:type="character" w:styleId="Czeinternetowe">
    <w:name w:val="Łącze internetowe"/>
    <w:basedOn w:val="DefaultParagraphFont"/>
    <w:uiPriority w:val="99"/>
    <w:unhideWhenUsed/>
    <w:rsid w:val="00121257"/>
    <w:rPr>
      <w:color w:val="0563C1" w:themeColor="hyperlink"/>
      <w:u w:val="single"/>
    </w:rPr>
  </w:style>
  <w:style w:type="character" w:styleId="Nagwek2Znak" w:customStyle="1">
    <w:name w:val="Nagłówek 2 Znak"/>
    <w:basedOn w:val="DefaultParagraphFont"/>
    <w:link w:val="Nagwek2"/>
    <w:uiPriority w:val="9"/>
    <w:qFormat/>
    <w:rsid w:val="006e211e"/>
    <w:rPr>
      <w:rFonts w:ascii="Calibri Light" w:hAnsi="Calibri Light" w:eastAsia="" w:cs="" w:asciiTheme="majorHAnsi" w:cstheme="majorBidi" w:eastAsiaTheme="majorEastAsia" w:hAnsiTheme="majorHAnsi"/>
      <w:color w:val="2E74B5" w:themeColor="accent1" w:themeShade="bf"/>
      <w:sz w:val="26"/>
      <w:szCs w:val="26"/>
    </w:rPr>
  </w:style>
  <w:style w:type="character" w:styleId="Nagwek1Znak" w:customStyle="1">
    <w:name w:val="Nagłówek 1 Znak"/>
    <w:basedOn w:val="DefaultParagraphFont"/>
    <w:link w:val="Nagwek1"/>
    <w:uiPriority w:val="9"/>
    <w:qFormat/>
    <w:rsid w:val="006e211e"/>
    <w:rPr>
      <w:rFonts w:ascii="Calibri Light" w:hAnsi="Calibri Light" w:eastAsia="" w:cs="" w:asciiTheme="majorHAnsi" w:cstheme="majorBidi" w:eastAsiaTheme="majorEastAsia" w:hAnsiTheme="majorHAnsi"/>
      <w:color w:val="2E74B5" w:themeColor="accent1" w:themeShade="bf"/>
      <w:sz w:val="32"/>
      <w:szCs w:val="32"/>
    </w:rPr>
  </w:style>
  <w:style w:type="character" w:styleId="NagwekZnak" w:customStyle="1">
    <w:name w:val="Nagłówek Znak"/>
    <w:basedOn w:val="DefaultParagraphFont"/>
    <w:link w:val="Nagwek"/>
    <w:uiPriority w:val="99"/>
    <w:qFormat/>
    <w:rsid w:val="00b4619c"/>
    <w:rPr/>
  </w:style>
  <w:style w:type="character" w:styleId="StopkaZnak" w:customStyle="1">
    <w:name w:val="Stopka Znak"/>
    <w:basedOn w:val="DefaultParagraphFont"/>
    <w:link w:val="Stopka"/>
    <w:uiPriority w:val="99"/>
    <w:qFormat/>
    <w:rsid w:val="00b4619c"/>
    <w:rPr/>
  </w:style>
  <w:style w:type="character" w:styleId="Strong">
    <w:name w:val="Strong"/>
    <w:basedOn w:val="DefaultParagraphFont"/>
    <w:uiPriority w:val="22"/>
    <w:qFormat/>
    <w:rsid w:val="00f92c9f"/>
    <w:rPr>
      <w:b/>
      <w:bCs/>
    </w:rPr>
  </w:style>
  <w:style w:type="character" w:styleId="Znakiprzypiswdolnych">
    <w:name w:val="Znaki przypisów dolnych"/>
    <w:qFormat/>
    <w:rPr/>
  </w:style>
  <w:style w:type="character" w:styleId="Zakotwiczenieprzypisukocowego">
    <w:name w:val="Zakotwiczenie przypisu końcowego"/>
    <w:rPr>
      <w:vertAlign w:val="superscript"/>
    </w:rPr>
  </w:style>
  <w:style w:type="character" w:styleId="Znakiprzypiswkocowych">
    <w:name w:val="Znaki przypisów końcowych"/>
    <w:qFormat/>
    <w:rPr/>
  </w:style>
  <w:style w:type="paragraph" w:styleId="Nagwek">
    <w:name w:val="Nagłówek"/>
    <w:basedOn w:val="Normal"/>
    <w:next w:val="Tretekstu"/>
    <w:qFormat/>
    <w:pPr>
      <w:keepNext w:val="true"/>
      <w:spacing w:before="240" w:after="120"/>
    </w:pPr>
    <w:rPr>
      <w:rFonts w:ascii="Liberation Sans" w:hAnsi="Liberation Sans" w:eastAsia="Microsoft YaHei" w:cs="Arial"/>
      <w:sz w:val="28"/>
      <w:szCs w:val="28"/>
    </w:rPr>
  </w:style>
  <w:style w:type="paragraph" w:styleId="Tretekstu">
    <w:name w:val="Body Text"/>
    <w:basedOn w:val="Normal"/>
    <w:pPr>
      <w:spacing w:lineRule="auto" w:line="276" w:before="0" w:after="140"/>
    </w:pPr>
    <w:rPr/>
  </w:style>
  <w:style w:type="paragraph" w:styleId="Lista">
    <w:name w:val="List"/>
    <w:basedOn w:val="Tretekstu"/>
    <w:pPr/>
    <w:rPr>
      <w:rFonts w:cs="Arial"/>
    </w:rPr>
  </w:style>
  <w:style w:type="paragraph" w:styleId="Podpis">
    <w:name w:val="Caption"/>
    <w:basedOn w:val="Normal"/>
    <w:qFormat/>
    <w:pPr>
      <w:suppressLineNumbers/>
      <w:spacing w:before="120" w:after="120"/>
    </w:pPr>
    <w:rPr>
      <w:rFonts w:cs="Arial"/>
      <w:i/>
      <w:iCs/>
      <w:sz w:val="24"/>
      <w:szCs w:val="24"/>
    </w:rPr>
  </w:style>
  <w:style w:type="paragraph" w:styleId="Indeks">
    <w:name w:val="Indeks"/>
    <w:basedOn w:val="Normal"/>
    <w:qFormat/>
    <w:pPr>
      <w:suppressLineNumbers/>
    </w:pPr>
    <w:rPr>
      <w:rFonts w:cs="Arial"/>
      <w:lang w:val="zxx" w:eastAsia="zxx" w:bidi="zxx"/>
    </w:rPr>
  </w:style>
  <w:style w:type="paragraph" w:styleId="Przypisdolny">
    <w:name w:val="Footnote Text"/>
    <w:basedOn w:val="Normal"/>
    <w:link w:val="TekstprzypisudolnegoZnak"/>
    <w:uiPriority w:val="99"/>
    <w:semiHidden/>
    <w:unhideWhenUsed/>
    <w:rsid w:val="009726fc"/>
    <w:pPr>
      <w:spacing w:lineRule="auto" w:line="240" w:before="0" w:after="0"/>
    </w:pPr>
    <w:rPr>
      <w:sz w:val="20"/>
      <w:szCs w:val="20"/>
    </w:rPr>
  </w:style>
  <w:style w:type="paragraph" w:styleId="ListParagraph">
    <w:name w:val="List Paragraph"/>
    <w:basedOn w:val="Normal"/>
    <w:uiPriority w:val="34"/>
    <w:qFormat/>
    <w:rsid w:val="004325e9"/>
    <w:pPr>
      <w:spacing w:before="0" w:after="160"/>
      <w:ind w:left="720" w:hanging="0"/>
      <w:contextualSpacing/>
    </w:pPr>
    <w:rPr/>
  </w:style>
  <w:style w:type="paragraph" w:styleId="Gwkaistopka">
    <w:name w:val="Główka i stopka"/>
    <w:basedOn w:val="Normal"/>
    <w:qFormat/>
    <w:pPr/>
    <w:rPr/>
  </w:style>
  <w:style w:type="paragraph" w:styleId="Gwka">
    <w:name w:val="Header"/>
    <w:basedOn w:val="Normal"/>
    <w:link w:val="NagwekZnak"/>
    <w:uiPriority w:val="99"/>
    <w:unhideWhenUsed/>
    <w:rsid w:val="00b4619c"/>
    <w:pPr>
      <w:tabs>
        <w:tab w:val="clear" w:pos="708"/>
        <w:tab w:val="center" w:pos="4536" w:leader="none"/>
        <w:tab w:val="right" w:pos="9072" w:leader="none"/>
      </w:tabs>
      <w:spacing w:lineRule="auto" w:line="240" w:before="0" w:after="0"/>
    </w:pPr>
    <w:rPr/>
  </w:style>
  <w:style w:type="paragraph" w:styleId="Stopka">
    <w:name w:val="Footer"/>
    <w:basedOn w:val="Normal"/>
    <w:link w:val="StopkaZnak"/>
    <w:uiPriority w:val="99"/>
    <w:unhideWhenUsed/>
    <w:rsid w:val="00b4619c"/>
    <w:pPr>
      <w:tabs>
        <w:tab w:val="clear" w:pos="708"/>
        <w:tab w:val="center" w:pos="4536" w:leader="none"/>
        <w:tab w:val="right" w:pos="9072" w:leader="none"/>
      </w:tabs>
      <w:spacing w:lineRule="auto" w:line="240" w:before="0" w:after="0"/>
    </w:pPr>
    <w:rPr/>
  </w:style>
  <w:style w:type="paragraph" w:styleId="NormalWeb">
    <w:name w:val="Normal (Web)"/>
    <w:basedOn w:val="Normal"/>
    <w:uiPriority w:val="99"/>
    <w:semiHidden/>
    <w:unhideWhenUsed/>
    <w:qFormat/>
    <w:rsid w:val="00f92c9f"/>
    <w:pPr>
      <w:spacing w:lineRule="auto" w:line="240" w:beforeAutospacing="1" w:afterAutospacing="1"/>
    </w:pPr>
    <w:rPr>
      <w:rFonts w:ascii="Times New Roman" w:hAnsi="Times New Roman" w:eastAsia="Times New Roman" w:cs="Times New Roman"/>
      <w:sz w:val="24"/>
      <w:szCs w:val="24"/>
      <w:lang w:eastAsia="pl-PL"/>
    </w:rPr>
  </w:style>
  <w:style w:type="numbering" w:styleId="NoList" w:default="1">
    <w:name w:val="No List"/>
    <w:uiPriority w:val="99"/>
    <w:semiHidden/>
    <w:unhideWhenUsed/>
    <w:qFormat/>
  </w:style>
  <w:style w:type="table" w:default="1" w:styleId="Standardowy">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png"/><Relationship Id="rId7" Type="http://schemas.openxmlformats.org/officeDocument/2006/relationships/image" Target="media/image6.wmf"/><Relationship Id="rId8" Type="http://schemas.openxmlformats.org/officeDocument/2006/relationships/image" Target="media/image7.jpeg"/><Relationship Id="rId9" Type="http://schemas.openxmlformats.org/officeDocument/2006/relationships/footer" Target="footer1.xml"/><Relationship Id="rId10" Type="http://schemas.openxmlformats.org/officeDocument/2006/relationships/footnotes" Target="footnotes.xml"/><Relationship Id="rId11" Type="http://schemas.openxmlformats.org/officeDocument/2006/relationships/numbering" Target="numbering.xml"/><Relationship Id="rId12" Type="http://schemas.openxmlformats.org/officeDocument/2006/relationships/fontTable" Target="fontTable.xml"/><Relationship Id="rId13" Type="http://schemas.openxmlformats.org/officeDocument/2006/relationships/settings" Target="settings.xml"/><Relationship Id="rId14" Type="http://schemas.openxmlformats.org/officeDocument/2006/relationships/theme" Target="theme/theme1.xml"/><Relationship Id="rId15" Type="http://schemas.openxmlformats.org/officeDocument/2006/relationships/customXml" Target="../customXml/item1.xml"/>
</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9A73D0-3DC6-46DB-8E33-ECB5A6B7BA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523</TotalTime>
  <Application>LibreOffice/7.2.1.2$Windows_X86_64 LibreOffice_project/87b77fad49947c1441b67c559c339af8f3517e22</Application>
  <AppVersion>15.0000</AppVersion>
  <Pages>17</Pages>
  <Words>6044</Words>
  <Characters>39254</Characters>
  <CharactersWithSpaces>45072</CharactersWithSpaces>
  <Paragraphs>268</Paragraphs>
  <Company>NFOSiGW</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2022-11-30T10:56:00Z</dcterms:created>
  <dc:creator>Skopek Bogusław</dc:creator>
  <dc:description/>
  <dc:language>pl-PL</dc:language>
  <cp:lastModifiedBy/>
  <dcterms:modified xsi:type="dcterms:W3CDTF">2022-12-01T10:50:04Z</dcterms:modified>
  <cp:revision>14</cp:revision>
  <dc:subject/>
  <dc:title/>
</cp:coreProperties>
</file>

<file path=docProps/custom.xml><?xml version="1.0" encoding="utf-8"?>
<Properties xmlns="http://schemas.openxmlformats.org/officeDocument/2006/custom-properties" xmlns:vt="http://schemas.openxmlformats.org/officeDocument/2006/docPropsVTypes"/>
</file>